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18D" w:rsidRPr="0007403F" w:rsidRDefault="00235CB7" w:rsidP="00F74390">
      <w:pPr>
        <w:jc w:val="center"/>
        <w:rPr>
          <w:rFonts w:ascii="Arial" w:hAnsi="Arial" w:cs="Arial"/>
          <w:b/>
          <w:smallCaps/>
          <w:sz w:val="22"/>
          <w:szCs w:val="22"/>
          <w:lang w:val="fr-FR"/>
        </w:rPr>
      </w:pPr>
      <w:r w:rsidRPr="0007403F">
        <w:rPr>
          <w:rFonts w:ascii="Arial" w:hAnsi="Arial" w:cs="Arial"/>
          <w:b/>
          <w:smallCaps/>
          <w:sz w:val="22"/>
          <w:szCs w:val="22"/>
          <w:lang w:val="fr-FR"/>
        </w:rPr>
        <w:t>Rappor</w:t>
      </w:r>
      <w:r w:rsidR="0095418D" w:rsidRPr="0007403F">
        <w:rPr>
          <w:rFonts w:ascii="Arial" w:hAnsi="Arial" w:cs="Arial"/>
          <w:b/>
          <w:smallCaps/>
          <w:sz w:val="22"/>
          <w:szCs w:val="22"/>
          <w:lang w:val="fr-FR"/>
        </w:rPr>
        <w:t xml:space="preserve">t </w:t>
      </w:r>
      <w:r w:rsidR="00F74390" w:rsidRPr="0007403F">
        <w:rPr>
          <w:rFonts w:ascii="Arial" w:hAnsi="Arial" w:cs="Arial"/>
          <w:b/>
          <w:smallCaps/>
          <w:sz w:val="22"/>
          <w:szCs w:val="22"/>
          <w:lang w:val="fr-FR"/>
        </w:rPr>
        <w:t>semestriel</w:t>
      </w:r>
      <w:r w:rsidR="0095418D" w:rsidRPr="0007403F">
        <w:rPr>
          <w:rFonts w:ascii="Arial" w:hAnsi="Arial" w:cs="Arial"/>
          <w:b/>
          <w:smallCaps/>
          <w:sz w:val="22"/>
          <w:szCs w:val="22"/>
          <w:lang w:val="fr-FR"/>
        </w:rPr>
        <w:t xml:space="preserve"> de suivi et évaluation</w:t>
      </w:r>
    </w:p>
    <w:p w:rsidR="007134DD" w:rsidRPr="00CC03D4" w:rsidRDefault="007134DD" w:rsidP="00256758">
      <w:pPr>
        <w:jc w:val="center"/>
        <w:rPr>
          <w:rFonts w:ascii="Arial" w:hAnsi="Arial" w:cs="Arial"/>
          <w:b/>
          <w:iCs/>
          <w:sz w:val="22"/>
          <w:szCs w:val="22"/>
          <w:lang w:val="fr-FR"/>
        </w:rPr>
      </w:pPr>
      <w:r w:rsidRPr="00CC03D4">
        <w:rPr>
          <w:rFonts w:ascii="Arial" w:hAnsi="Arial" w:cs="Arial"/>
          <w:b/>
          <w:iCs/>
          <w:sz w:val="22"/>
          <w:szCs w:val="22"/>
          <w:lang w:val="fr-FR"/>
        </w:rPr>
        <w:t>(</w:t>
      </w:r>
      <w:r w:rsidR="004612FD" w:rsidRPr="00CC03D4">
        <w:rPr>
          <w:rFonts w:ascii="Arial" w:hAnsi="Arial" w:cs="Arial"/>
          <w:b/>
          <w:iCs/>
          <w:sz w:val="22"/>
          <w:szCs w:val="22"/>
          <w:lang w:val="fr-FR"/>
        </w:rPr>
        <w:t xml:space="preserve">Situations au </w:t>
      </w:r>
      <w:r w:rsidR="00623329">
        <w:rPr>
          <w:rFonts w:ascii="Arial" w:hAnsi="Arial" w:cs="Arial"/>
          <w:b/>
          <w:iCs/>
          <w:sz w:val="22"/>
          <w:szCs w:val="22"/>
          <w:lang w:val="fr-FR"/>
        </w:rPr>
        <w:t>31</w:t>
      </w:r>
      <w:r w:rsidR="00256758" w:rsidRPr="00CC03D4">
        <w:rPr>
          <w:rFonts w:ascii="Arial" w:hAnsi="Arial" w:cs="Arial"/>
          <w:b/>
          <w:iCs/>
          <w:sz w:val="22"/>
          <w:szCs w:val="22"/>
          <w:lang w:val="fr-FR"/>
        </w:rPr>
        <w:t xml:space="preserve"> </w:t>
      </w:r>
      <w:r w:rsidR="00623329">
        <w:rPr>
          <w:rFonts w:ascii="Arial" w:hAnsi="Arial" w:cs="Arial"/>
          <w:b/>
          <w:iCs/>
          <w:sz w:val="22"/>
          <w:szCs w:val="22"/>
          <w:lang w:val="fr-FR"/>
        </w:rPr>
        <w:t>décembre</w:t>
      </w:r>
      <w:r w:rsidR="00BD5761">
        <w:rPr>
          <w:rFonts w:ascii="Arial" w:hAnsi="Arial" w:cs="Arial"/>
          <w:b/>
          <w:iCs/>
          <w:sz w:val="22"/>
          <w:szCs w:val="22"/>
          <w:lang w:val="fr-FR"/>
        </w:rPr>
        <w:t xml:space="preserve"> </w:t>
      </w:r>
      <w:r w:rsidR="003D49B5" w:rsidRPr="00CC03D4">
        <w:rPr>
          <w:rFonts w:ascii="Arial" w:hAnsi="Arial" w:cs="Arial"/>
          <w:b/>
          <w:iCs/>
          <w:sz w:val="22"/>
          <w:szCs w:val="22"/>
          <w:lang w:val="fr-FR"/>
        </w:rPr>
        <w:t>200</w:t>
      </w:r>
      <w:r w:rsidR="00BD5761">
        <w:rPr>
          <w:rFonts w:ascii="Arial" w:hAnsi="Arial" w:cs="Arial"/>
          <w:b/>
          <w:iCs/>
          <w:sz w:val="22"/>
          <w:szCs w:val="22"/>
          <w:lang w:val="fr-FR"/>
        </w:rPr>
        <w:t>9</w:t>
      </w:r>
      <w:r w:rsidR="00A66B6D" w:rsidRPr="00CC03D4">
        <w:rPr>
          <w:rFonts w:ascii="Arial" w:hAnsi="Arial" w:cs="Arial"/>
          <w:b/>
          <w:iCs/>
          <w:sz w:val="22"/>
          <w:szCs w:val="22"/>
          <w:lang w:val="fr-FR"/>
        </w:rPr>
        <w:t>)</w:t>
      </w:r>
    </w:p>
    <w:p w:rsidR="006E48D8" w:rsidRDefault="006E48D8" w:rsidP="00256758">
      <w:pPr>
        <w:jc w:val="center"/>
        <w:rPr>
          <w:rFonts w:ascii="Arial" w:hAnsi="Arial" w:cs="Arial"/>
          <w:b/>
          <w:smallCaps/>
          <w:sz w:val="22"/>
          <w:szCs w:val="22"/>
          <w:lang w:val="fr-FR"/>
        </w:rPr>
      </w:pPr>
    </w:p>
    <w:p w:rsidR="006E48D8" w:rsidRDefault="00CC03D4" w:rsidP="006E48D8">
      <w:pPr>
        <w:jc w:val="center"/>
        <w:rPr>
          <w:rFonts w:ascii="Arial" w:hAnsi="Arial" w:cs="Arial"/>
          <w:b/>
          <w:smallCaps/>
          <w:sz w:val="22"/>
          <w:szCs w:val="22"/>
          <w:lang w:val="fr-FR"/>
        </w:rPr>
      </w:pPr>
      <w:r>
        <w:rPr>
          <w:rFonts w:ascii="Arial" w:hAnsi="Arial" w:cs="Arial"/>
          <w:b/>
          <w:smallCaps/>
          <w:sz w:val="22"/>
          <w:szCs w:val="22"/>
          <w:lang w:val="fr-FR"/>
        </w:rPr>
        <w:t>PRO</w:t>
      </w:r>
      <w:r w:rsidR="0060381F" w:rsidRPr="0007403F">
        <w:rPr>
          <w:rFonts w:ascii="Arial" w:hAnsi="Arial" w:cs="Arial"/>
          <w:b/>
          <w:smallCaps/>
          <w:sz w:val="22"/>
          <w:szCs w:val="22"/>
          <w:lang w:val="fr-FR"/>
        </w:rPr>
        <w:t xml:space="preserve">gramme de </w:t>
      </w:r>
      <w:r>
        <w:rPr>
          <w:rFonts w:ascii="Arial" w:hAnsi="Arial" w:cs="Arial"/>
          <w:b/>
          <w:smallCaps/>
          <w:sz w:val="22"/>
          <w:szCs w:val="22"/>
          <w:lang w:val="fr-FR"/>
        </w:rPr>
        <w:t>Soutien aux Poles de micro-Entreprises R</w:t>
      </w:r>
      <w:r w:rsidR="00256758">
        <w:rPr>
          <w:rFonts w:ascii="Arial" w:hAnsi="Arial" w:cs="Arial"/>
          <w:b/>
          <w:smallCaps/>
          <w:sz w:val="22"/>
          <w:szCs w:val="22"/>
          <w:lang w:val="fr-FR"/>
        </w:rPr>
        <w:t>urales et aux Economies Régionales</w:t>
      </w:r>
    </w:p>
    <w:p w:rsidR="00061128" w:rsidRDefault="00061128" w:rsidP="005D181D">
      <w:pPr>
        <w:jc w:val="center"/>
        <w:rPr>
          <w:rFonts w:ascii="Arial" w:hAnsi="Arial" w:cs="Arial"/>
          <w:bCs/>
          <w:sz w:val="22"/>
          <w:szCs w:val="22"/>
          <w:lang w:val="fr-FR"/>
        </w:rPr>
      </w:pPr>
    </w:p>
    <w:p w:rsidR="006E48D8" w:rsidRPr="0007403F" w:rsidRDefault="006E48D8" w:rsidP="006E48D8">
      <w:pPr>
        <w:ind w:left="360"/>
        <w:jc w:val="center"/>
        <w:rPr>
          <w:rFonts w:ascii="Arial" w:hAnsi="Arial" w:cs="Arial"/>
          <w:b/>
          <w:smallCaps/>
          <w:sz w:val="22"/>
          <w:szCs w:val="22"/>
          <w:lang w:val="fr-FR"/>
        </w:rPr>
      </w:pPr>
      <w:r>
        <w:rPr>
          <w:rFonts w:ascii="Arial" w:hAnsi="Arial" w:cs="Arial"/>
          <w:b/>
          <w:smallCaps/>
          <w:sz w:val="22"/>
          <w:szCs w:val="22"/>
          <w:lang w:val="fr-FR"/>
        </w:rPr>
        <w:t xml:space="preserve">- </w:t>
      </w:r>
      <w:r w:rsidRPr="0007403F">
        <w:rPr>
          <w:rFonts w:ascii="Arial" w:hAnsi="Arial" w:cs="Arial"/>
          <w:b/>
          <w:smallCaps/>
          <w:sz w:val="22"/>
          <w:szCs w:val="22"/>
          <w:lang w:val="fr-FR"/>
        </w:rPr>
        <w:t>P</w:t>
      </w:r>
      <w:r>
        <w:rPr>
          <w:rFonts w:ascii="Arial" w:hAnsi="Arial" w:cs="Arial"/>
          <w:b/>
          <w:smallCaps/>
          <w:sz w:val="22"/>
          <w:szCs w:val="22"/>
          <w:lang w:val="fr-FR"/>
        </w:rPr>
        <w:t>ROSPERER -</w:t>
      </w:r>
    </w:p>
    <w:p w:rsidR="006E48D8" w:rsidRPr="0007403F" w:rsidRDefault="006E48D8" w:rsidP="005D181D">
      <w:pPr>
        <w:jc w:val="center"/>
        <w:rPr>
          <w:rFonts w:ascii="Arial" w:hAnsi="Arial" w:cs="Arial"/>
          <w:bCs/>
          <w:sz w:val="22"/>
          <w:szCs w:val="22"/>
          <w:lang w:val="fr-FR"/>
        </w:rPr>
      </w:pPr>
    </w:p>
    <w:p w:rsidR="005D181D" w:rsidRPr="0007403F" w:rsidRDefault="005D181D" w:rsidP="005D181D">
      <w:pPr>
        <w:jc w:val="center"/>
        <w:rPr>
          <w:rFonts w:ascii="Arial" w:hAnsi="Arial" w:cs="Arial"/>
          <w:b/>
          <w:sz w:val="22"/>
          <w:szCs w:val="22"/>
          <w:lang w:val="fr-FR"/>
        </w:rPr>
      </w:pPr>
      <w:r w:rsidRPr="0007403F">
        <w:rPr>
          <w:rFonts w:ascii="Arial" w:hAnsi="Arial" w:cs="Arial"/>
          <w:b/>
          <w:sz w:val="22"/>
          <w:szCs w:val="22"/>
          <w:lang w:val="fr-FR"/>
        </w:rPr>
        <w:t>A.</w:t>
      </w:r>
      <w:r w:rsidR="00424EB2">
        <w:rPr>
          <w:rFonts w:ascii="Arial" w:hAnsi="Arial" w:cs="Arial"/>
          <w:b/>
          <w:sz w:val="22"/>
          <w:szCs w:val="22"/>
          <w:lang w:val="fr-FR"/>
        </w:rPr>
        <w:t xml:space="preserve"> </w:t>
      </w:r>
      <w:r w:rsidRPr="0007403F">
        <w:rPr>
          <w:rFonts w:ascii="Arial" w:hAnsi="Arial" w:cs="Arial"/>
          <w:b/>
          <w:sz w:val="22"/>
          <w:szCs w:val="22"/>
          <w:lang w:val="fr-FR"/>
        </w:rPr>
        <w:t>Avancement d’exécution</w:t>
      </w:r>
    </w:p>
    <w:p w:rsidR="005D181D" w:rsidRPr="0007403F" w:rsidRDefault="005D181D" w:rsidP="005D181D">
      <w:pPr>
        <w:jc w:val="both"/>
        <w:rPr>
          <w:rFonts w:ascii="Arial" w:hAnsi="Arial" w:cs="Arial"/>
          <w:bCs/>
          <w:sz w:val="22"/>
          <w:szCs w:val="22"/>
          <w:lang w:val="fr-FR"/>
        </w:rPr>
      </w:pPr>
    </w:p>
    <w:p w:rsidR="005D181D" w:rsidRPr="0007403F" w:rsidRDefault="005D181D" w:rsidP="005D181D">
      <w:pPr>
        <w:jc w:val="both"/>
        <w:rPr>
          <w:rFonts w:ascii="Arial" w:hAnsi="Arial" w:cs="Arial"/>
          <w:bCs/>
          <w:i/>
          <w:iCs/>
          <w:sz w:val="22"/>
          <w:szCs w:val="22"/>
          <w:lang w:val="fr-FR"/>
        </w:rPr>
      </w:pPr>
      <w:r w:rsidRPr="0007403F">
        <w:rPr>
          <w:rFonts w:ascii="Arial" w:hAnsi="Arial" w:cs="Arial"/>
          <w:bCs/>
          <w:i/>
          <w:iCs/>
          <w:sz w:val="22"/>
          <w:szCs w:val="22"/>
          <w:lang w:val="fr-FR"/>
        </w:rPr>
        <w:t xml:space="preserve">Cette partie sert à rendre compte de l’état d’avancement du projet, aussi bien de ses réalisations physiques que financières, </w:t>
      </w:r>
      <w:r w:rsidRPr="0007403F">
        <w:rPr>
          <w:rFonts w:ascii="Arial" w:hAnsi="Arial" w:cs="Arial"/>
          <w:b/>
          <w:i/>
          <w:iCs/>
          <w:sz w:val="22"/>
          <w:szCs w:val="22"/>
          <w:lang w:val="fr-FR"/>
        </w:rPr>
        <w:t>par composante</w:t>
      </w:r>
      <w:r w:rsidRPr="0007403F">
        <w:rPr>
          <w:rFonts w:ascii="Arial" w:hAnsi="Arial" w:cs="Arial"/>
          <w:bCs/>
          <w:i/>
          <w:iCs/>
          <w:sz w:val="22"/>
          <w:szCs w:val="22"/>
          <w:lang w:val="fr-FR"/>
        </w:rPr>
        <w:t>. Les annexes 1 à 4 se rapportent à cette partie et reprennent les indicateurs quantitatifs.</w:t>
      </w:r>
    </w:p>
    <w:p w:rsidR="005D181D" w:rsidRPr="0007403F" w:rsidRDefault="005D181D" w:rsidP="005D181D">
      <w:pPr>
        <w:jc w:val="both"/>
        <w:rPr>
          <w:rFonts w:ascii="Arial" w:hAnsi="Arial" w:cs="Arial"/>
          <w:bCs/>
          <w:sz w:val="22"/>
          <w:szCs w:val="22"/>
          <w:lang w:val="fr-FR"/>
        </w:rPr>
      </w:pPr>
    </w:p>
    <w:tbl>
      <w:tblPr>
        <w:tblW w:w="0" w:type="auto"/>
        <w:tblBorders>
          <w:insideH w:val="dotted" w:sz="4" w:space="0" w:color="auto"/>
          <w:insideV w:val="dotted" w:sz="4" w:space="0" w:color="auto"/>
        </w:tblBorders>
        <w:tblLook w:val="01E0"/>
      </w:tblPr>
      <w:tblGrid>
        <w:gridCol w:w="10368"/>
      </w:tblGrid>
      <w:tr w:rsidR="005D181D" w:rsidRPr="00C25655">
        <w:trPr>
          <w:trHeight w:val="433"/>
        </w:trPr>
        <w:tc>
          <w:tcPr>
            <w:tcW w:w="10368" w:type="dxa"/>
            <w:tcBorders>
              <w:top w:val="single" w:sz="12" w:space="0" w:color="auto"/>
              <w:left w:val="single" w:sz="12" w:space="0" w:color="auto"/>
              <w:bottom w:val="dotted" w:sz="4" w:space="0" w:color="auto"/>
              <w:right w:val="single" w:sz="12" w:space="0" w:color="auto"/>
            </w:tcBorders>
            <w:shd w:val="clear" w:color="auto" w:fill="000000"/>
            <w:vAlign w:val="center"/>
          </w:tcPr>
          <w:p w:rsidR="005D181D" w:rsidRPr="0042574B" w:rsidRDefault="005D181D" w:rsidP="00CC03D4">
            <w:pPr>
              <w:rPr>
                <w:rFonts w:ascii="Arial" w:hAnsi="Arial" w:cs="Arial"/>
                <w:b/>
                <w:sz w:val="22"/>
                <w:szCs w:val="22"/>
                <w:lang w:val="fr-FR"/>
              </w:rPr>
            </w:pPr>
            <w:r w:rsidRPr="0042574B">
              <w:rPr>
                <w:rFonts w:ascii="Arial" w:hAnsi="Arial" w:cs="Arial"/>
                <w:b/>
                <w:sz w:val="22"/>
                <w:szCs w:val="22"/>
                <w:lang w:val="fr-FR"/>
              </w:rPr>
              <w:t xml:space="preserve">Exécution </w:t>
            </w:r>
            <w:r w:rsidRPr="0042574B">
              <w:rPr>
                <w:rFonts w:ascii="Arial" w:hAnsi="Arial" w:cs="Arial"/>
                <w:b/>
                <w:sz w:val="22"/>
                <w:szCs w:val="22"/>
                <w:u w:val="single"/>
                <w:lang w:val="fr-FR"/>
              </w:rPr>
              <w:t>prévue</w:t>
            </w:r>
            <w:r w:rsidRPr="0042574B">
              <w:rPr>
                <w:rFonts w:ascii="Arial" w:hAnsi="Arial" w:cs="Arial"/>
                <w:b/>
                <w:sz w:val="22"/>
                <w:szCs w:val="22"/>
                <w:lang w:val="fr-FR"/>
              </w:rPr>
              <w:t xml:space="preserve"> pour le semestre écoulé (</w:t>
            </w:r>
            <w:r w:rsidR="00E37B4E" w:rsidRPr="0042574B">
              <w:rPr>
                <w:rFonts w:ascii="Arial" w:hAnsi="Arial" w:cs="Arial"/>
                <w:b/>
                <w:sz w:val="22"/>
                <w:szCs w:val="22"/>
                <w:lang w:val="fr-FR"/>
              </w:rPr>
              <w:t xml:space="preserve">sur la base du </w:t>
            </w:r>
            <w:r w:rsidRPr="0042574B">
              <w:rPr>
                <w:rFonts w:ascii="Arial" w:hAnsi="Arial" w:cs="Arial"/>
                <w:b/>
                <w:sz w:val="22"/>
                <w:szCs w:val="22"/>
                <w:lang w:val="fr-FR"/>
              </w:rPr>
              <w:t>PTBA</w:t>
            </w:r>
            <w:r w:rsidR="00CC03D4">
              <w:rPr>
                <w:rFonts w:ascii="Arial" w:hAnsi="Arial" w:cs="Arial"/>
                <w:b/>
                <w:sz w:val="22"/>
                <w:szCs w:val="22"/>
                <w:lang w:val="fr-FR"/>
              </w:rPr>
              <w:t>)</w:t>
            </w:r>
          </w:p>
        </w:tc>
      </w:tr>
      <w:tr w:rsidR="005D181D" w:rsidRPr="00C25655">
        <w:tc>
          <w:tcPr>
            <w:tcW w:w="10368" w:type="dxa"/>
            <w:tcBorders>
              <w:top w:val="dotted" w:sz="4" w:space="0" w:color="auto"/>
              <w:left w:val="single" w:sz="12" w:space="0" w:color="auto"/>
              <w:bottom w:val="dotted" w:sz="4" w:space="0" w:color="auto"/>
              <w:right w:val="single" w:sz="12" w:space="0" w:color="auto"/>
            </w:tcBorders>
          </w:tcPr>
          <w:p w:rsidR="00256758" w:rsidRPr="0036574A" w:rsidRDefault="001536B1" w:rsidP="00256758">
            <w:pPr>
              <w:jc w:val="both"/>
              <w:rPr>
                <w:sz w:val="22"/>
                <w:szCs w:val="22"/>
                <w:lang w:val="fr-FR"/>
              </w:rPr>
            </w:pPr>
            <w:r w:rsidRPr="0036574A">
              <w:rPr>
                <w:b/>
                <w:bCs/>
                <w:iCs/>
                <w:sz w:val="22"/>
                <w:szCs w:val="22"/>
                <w:lang w:val="fr-FR"/>
              </w:rPr>
              <w:t xml:space="preserve">Composante 1 </w:t>
            </w:r>
            <w:r w:rsidRPr="0036574A">
              <w:rPr>
                <w:iCs/>
                <w:sz w:val="22"/>
                <w:szCs w:val="22"/>
                <w:lang w:val="fr-FR"/>
              </w:rPr>
              <w:t xml:space="preserve">- </w:t>
            </w:r>
            <w:r w:rsidR="00256758" w:rsidRPr="0036574A">
              <w:rPr>
                <w:b/>
                <w:bCs/>
                <w:sz w:val="22"/>
                <w:szCs w:val="22"/>
                <w:lang w:val="fr-FR"/>
              </w:rPr>
              <w:t>IDENTIFICATION ET MOBILISATION DES MER, DES PER ET STRUCTURATION DES INTERPROFESSIONS</w:t>
            </w:r>
            <w:r w:rsidR="00256758" w:rsidRPr="0036574A">
              <w:rPr>
                <w:sz w:val="22"/>
                <w:szCs w:val="22"/>
                <w:lang w:val="fr-FR"/>
              </w:rPr>
              <w:t xml:space="preserve"> </w:t>
            </w:r>
          </w:p>
          <w:p w:rsidR="0036574A" w:rsidRDefault="0036574A" w:rsidP="0036574A">
            <w:pPr>
              <w:rPr>
                <w:b/>
                <w:i/>
                <w:lang w:val="fr-FR"/>
              </w:rPr>
            </w:pPr>
          </w:p>
          <w:p w:rsidR="0036574A" w:rsidRPr="0036574A" w:rsidRDefault="0036574A" w:rsidP="0036574A">
            <w:pPr>
              <w:rPr>
                <w:lang w:val="fr-FR"/>
              </w:rPr>
            </w:pPr>
            <w:r w:rsidRPr="0036574A">
              <w:rPr>
                <w:b/>
                <w:i/>
                <w:sz w:val="22"/>
                <w:szCs w:val="22"/>
                <w:u w:val="single"/>
                <w:lang w:val="fr-FR"/>
              </w:rPr>
              <w:t>Sous composante 11</w:t>
            </w:r>
            <w:r w:rsidRPr="0036574A">
              <w:rPr>
                <w:b/>
                <w:i/>
                <w:sz w:val="22"/>
                <w:szCs w:val="22"/>
                <w:lang w:val="fr-FR"/>
              </w:rPr>
              <w:t> :</w:t>
            </w:r>
            <w:r w:rsidRPr="0036574A">
              <w:rPr>
                <w:sz w:val="22"/>
                <w:szCs w:val="22"/>
                <w:lang w:val="fr-FR"/>
              </w:rPr>
              <w:t xml:space="preserve"> </w:t>
            </w:r>
            <w:r w:rsidRPr="0036574A">
              <w:rPr>
                <w:b/>
                <w:i/>
                <w:sz w:val="22"/>
                <w:szCs w:val="22"/>
                <w:lang w:val="fr-FR"/>
              </w:rPr>
              <w:t>I</w:t>
            </w:r>
            <w:r w:rsidRPr="00FF08D3">
              <w:rPr>
                <w:b/>
                <w:i/>
                <w:sz w:val="22"/>
                <w:szCs w:val="22"/>
                <w:lang w:val="fr-FR"/>
              </w:rPr>
              <w:t>nventaire régional- Validation des MER et des PER- Dispositif d’appui local</w:t>
            </w:r>
          </w:p>
          <w:p w:rsidR="0036574A" w:rsidRPr="0036574A" w:rsidRDefault="0036574A" w:rsidP="0036574A">
            <w:pPr>
              <w:rPr>
                <w:lang w:val="fr-FR"/>
              </w:rPr>
            </w:pPr>
          </w:p>
          <w:p w:rsidR="0036574A" w:rsidRPr="0036574A" w:rsidRDefault="0036574A" w:rsidP="006247B1">
            <w:pPr>
              <w:numPr>
                <w:ilvl w:val="0"/>
                <w:numId w:val="5"/>
              </w:numPr>
              <w:tabs>
                <w:tab w:val="clear" w:pos="720"/>
              </w:tabs>
              <w:ind w:left="567" w:right="32" w:hanging="567"/>
              <w:jc w:val="both"/>
              <w:rPr>
                <w:rFonts w:ascii="Century Gothic" w:hAnsi="Century Gothic"/>
                <w:sz w:val="20"/>
                <w:szCs w:val="20"/>
                <w:lang w:val="fr-FR"/>
              </w:rPr>
            </w:pPr>
            <w:r w:rsidRPr="0036574A">
              <w:rPr>
                <w:rFonts w:ascii="Century Gothic" w:hAnsi="Century Gothic"/>
                <w:sz w:val="20"/>
                <w:szCs w:val="20"/>
                <w:lang w:val="fr-FR"/>
              </w:rPr>
              <w:t>Etudes-diagnostic régionales sur une quinzaine de filières et clusters, diagnostics de leurs besoins et élaboration participative de plans de développement par filière et par cluster ;</w:t>
            </w:r>
          </w:p>
          <w:p w:rsidR="0036574A" w:rsidRPr="0036574A" w:rsidRDefault="0036574A" w:rsidP="0036574A">
            <w:pPr>
              <w:tabs>
                <w:tab w:val="left" w:pos="1843"/>
              </w:tabs>
              <w:ind w:left="720" w:right="32"/>
              <w:jc w:val="both"/>
              <w:rPr>
                <w:rFonts w:ascii="Century Gothic" w:hAnsi="Century Gothic"/>
                <w:sz w:val="20"/>
                <w:szCs w:val="20"/>
                <w:lang w:val="fr-FR"/>
              </w:rPr>
            </w:pPr>
          </w:p>
          <w:p w:rsidR="0036574A" w:rsidRPr="0036574A" w:rsidRDefault="0036574A" w:rsidP="006247B1">
            <w:pPr>
              <w:numPr>
                <w:ilvl w:val="0"/>
                <w:numId w:val="5"/>
              </w:numPr>
              <w:tabs>
                <w:tab w:val="clear" w:pos="720"/>
                <w:tab w:val="left" w:pos="567"/>
              </w:tabs>
              <w:ind w:left="567" w:right="32" w:hanging="567"/>
              <w:jc w:val="both"/>
              <w:rPr>
                <w:rFonts w:ascii="Century Gothic" w:hAnsi="Century Gothic"/>
                <w:sz w:val="20"/>
                <w:szCs w:val="20"/>
                <w:lang w:val="fr-FR"/>
              </w:rPr>
            </w:pPr>
            <w:r w:rsidRPr="0036574A">
              <w:rPr>
                <w:rFonts w:ascii="Century Gothic" w:hAnsi="Century Gothic"/>
                <w:sz w:val="20"/>
                <w:szCs w:val="20"/>
                <w:lang w:val="fr-FR"/>
              </w:rPr>
              <w:t>Mise en place de 19 GUMS/IF au niveau des districts qui seront animés par deux conseillers d’entreprise, véritables interfaces terrain du Programme ;</w:t>
            </w:r>
          </w:p>
          <w:p w:rsidR="0036574A" w:rsidRPr="00952681" w:rsidRDefault="0036574A" w:rsidP="0036574A">
            <w:pPr>
              <w:pStyle w:val="Paragraphedeliste"/>
              <w:spacing w:after="0" w:line="240" w:lineRule="auto"/>
              <w:rPr>
                <w:rFonts w:ascii="Century Gothic" w:eastAsia="Times New Roman" w:hAnsi="Century Gothic"/>
                <w:b/>
                <w:sz w:val="20"/>
                <w:szCs w:val="20"/>
              </w:rPr>
            </w:pPr>
          </w:p>
          <w:p w:rsidR="0036574A" w:rsidRPr="0036574A" w:rsidRDefault="0036574A" w:rsidP="006247B1">
            <w:pPr>
              <w:numPr>
                <w:ilvl w:val="0"/>
                <w:numId w:val="5"/>
              </w:numPr>
              <w:tabs>
                <w:tab w:val="clear" w:pos="720"/>
                <w:tab w:val="left" w:pos="567"/>
              </w:tabs>
              <w:ind w:left="567" w:right="32" w:hanging="567"/>
              <w:jc w:val="both"/>
              <w:rPr>
                <w:rFonts w:ascii="Century Gothic" w:hAnsi="Century Gothic"/>
                <w:sz w:val="20"/>
                <w:szCs w:val="20"/>
                <w:lang w:val="fr-FR"/>
              </w:rPr>
            </w:pPr>
            <w:r w:rsidRPr="0036574A">
              <w:rPr>
                <w:rFonts w:ascii="Century Gothic" w:hAnsi="Century Gothic"/>
                <w:sz w:val="20"/>
                <w:szCs w:val="20"/>
                <w:lang w:val="fr-FR"/>
              </w:rPr>
              <w:t>Elaboration d’au moins 41 000 profils individuels des MER et mise en place d’une base de données des MER, des PER existantes avec bilan des besoins et préparation de plans d’entreprise ;</w:t>
            </w:r>
          </w:p>
          <w:p w:rsidR="0036574A" w:rsidRPr="0036574A" w:rsidRDefault="0036574A" w:rsidP="0036574A">
            <w:pPr>
              <w:tabs>
                <w:tab w:val="left" w:pos="1843"/>
              </w:tabs>
              <w:ind w:right="34"/>
              <w:jc w:val="both"/>
              <w:rPr>
                <w:rFonts w:ascii="Century Gothic" w:hAnsi="Century Gothic"/>
                <w:sz w:val="20"/>
                <w:szCs w:val="20"/>
                <w:lang w:val="fr-FR"/>
              </w:rPr>
            </w:pPr>
          </w:p>
          <w:p w:rsidR="0036574A" w:rsidRPr="0036574A" w:rsidRDefault="0036574A" w:rsidP="006247B1">
            <w:pPr>
              <w:numPr>
                <w:ilvl w:val="0"/>
                <w:numId w:val="5"/>
              </w:numPr>
              <w:tabs>
                <w:tab w:val="clear" w:pos="720"/>
                <w:tab w:val="left" w:pos="567"/>
              </w:tabs>
              <w:ind w:left="567" w:right="32" w:hanging="567"/>
              <w:jc w:val="both"/>
              <w:rPr>
                <w:rFonts w:ascii="Century Gothic" w:hAnsi="Century Gothic"/>
                <w:sz w:val="20"/>
                <w:szCs w:val="20"/>
                <w:lang w:val="fr-FR"/>
              </w:rPr>
            </w:pPr>
            <w:r w:rsidRPr="0036574A">
              <w:rPr>
                <w:rFonts w:ascii="Century Gothic" w:hAnsi="Century Gothic"/>
                <w:sz w:val="20"/>
                <w:szCs w:val="20"/>
                <w:lang w:val="fr-FR"/>
              </w:rPr>
              <w:t>Validation d’au moins 13 200 MER bénéficiaires sur la base de critères de taille minimum de l’activité (volume produit, investissement/équipement mobilisé) et de comportement micro-économique (intégration marché/filière/cluster, création de valeur ajoutée).</w:t>
            </w:r>
          </w:p>
          <w:p w:rsidR="0036574A" w:rsidRPr="0036574A" w:rsidRDefault="0036574A" w:rsidP="0036574A">
            <w:pPr>
              <w:rPr>
                <w:lang w:val="fr-FR"/>
              </w:rPr>
            </w:pPr>
          </w:p>
          <w:p w:rsidR="0036574A" w:rsidRPr="0036574A" w:rsidRDefault="0036574A" w:rsidP="0036574A">
            <w:pPr>
              <w:rPr>
                <w:b/>
                <w:i/>
                <w:sz w:val="22"/>
                <w:szCs w:val="22"/>
                <w:lang w:val="fr-FR"/>
              </w:rPr>
            </w:pPr>
            <w:r w:rsidRPr="0036574A">
              <w:rPr>
                <w:b/>
                <w:i/>
                <w:sz w:val="22"/>
                <w:szCs w:val="22"/>
                <w:u w:val="single"/>
                <w:lang w:val="fr-FR"/>
              </w:rPr>
              <w:t>Sous composante 12</w:t>
            </w:r>
            <w:r w:rsidRPr="0036574A">
              <w:rPr>
                <w:b/>
                <w:i/>
                <w:sz w:val="22"/>
                <w:szCs w:val="22"/>
                <w:lang w:val="fr-FR"/>
              </w:rPr>
              <w:t> :</w:t>
            </w:r>
            <w:r w:rsidRPr="0036574A">
              <w:rPr>
                <w:b/>
                <w:i/>
                <w:iCs/>
                <w:sz w:val="22"/>
                <w:szCs w:val="22"/>
                <w:lang w:val="fr-FR"/>
              </w:rPr>
              <w:t xml:space="preserve"> Renforcement des structures professionnelles et de l’interface Public-Privé</w:t>
            </w:r>
          </w:p>
          <w:p w:rsidR="0036574A" w:rsidRPr="0036574A" w:rsidRDefault="0036574A" w:rsidP="0036574A">
            <w:pPr>
              <w:rPr>
                <w:lang w:val="fr-FR"/>
              </w:rPr>
            </w:pPr>
          </w:p>
          <w:p w:rsidR="0036574A" w:rsidRPr="0036574A" w:rsidRDefault="0036574A" w:rsidP="006247B1">
            <w:pPr>
              <w:numPr>
                <w:ilvl w:val="0"/>
                <w:numId w:val="5"/>
              </w:numPr>
              <w:tabs>
                <w:tab w:val="clear" w:pos="720"/>
                <w:tab w:val="left" w:pos="567"/>
              </w:tabs>
              <w:ind w:left="567" w:right="32" w:hanging="567"/>
              <w:jc w:val="both"/>
              <w:rPr>
                <w:rFonts w:ascii="Century Gothic" w:hAnsi="Century Gothic"/>
                <w:sz w:val="20"/>
                <w:szCs w:val="20"/>
                <w:lang w:val="fr-FR"/>
              </w:rPr>
            </w:pPr>
            <w:r w:rsidRPr="0036574A">
              <w:rPr>
                <w:rFonts w:ascii="Century Gothic" w:hAnsi="Century Gothic"/>
                <w:sz w:val="20"/>
                <w:szCs w:val="20"/>
                <w:lang w:val="fr-FR"/>
              </w:rPr>
              <w:t xml:space="preserve"> Renforcement des capacités opérationnelles régionales du partenariat public et privé des 5 antennes gérées par la FCCI avec la mise en place des Equipes Régionales/Foibe Fanoitra Rezionaly (EPR/FFR) pour assurer leur rôle d’antenne régionale, incluant la participation des directions de tutelle (DRDE, DRDR);</w:t>
            </w:r>
          </w:p>
          <w:p w:rsidR="0036574A" w:rsidRPr="0036574A" w:rsidRDefault="0036574A" w:rsidP="0036574A">
            <w:pPr>
              <w:tabs>
                <w:tab w:val="left" w:pos="1843"/>
              </w:tabs>
              <w:ind w:left="720" w:right="32"/>
              <w:jc w:val="both"/>
              <w:rPr>
                <w:rFonts w:ascii="Century Gothic" w:hAnsi="Century Gothic"/>
                <w:sz w:val="20"/>
                <w:szCs w:val="20"/>
                <w:lang w:val="fr-FR"/>
              </w:rPr>
            </w:pPr>
          </w:p>
          <w:p w:rsidR="0036574A" w:rsidRPr="0036574A" w:rsidRDefault="0036574A" w:rsidP="006247B1">
            <w:pPr>
              <w:numPr>
                <w:ilvl w:val="0"/>
                <w:numId w:val="5"/>
              </w:numPr>
              <w:tabs>
                <w:tab w:val="clear" w:pos="720"/>
                <w:tab w:val="left" w:pos="567"/>
              </w:tabs>
              <w:ind w:left="567" w:right="32" w:hanging="567"/>
              <w:jc w:val="both"/>
              <w:rPr>
                <w:rFonts w:ascii="Century Gothic" w:hAnsi="Century Gothic"/>
                <w:sz w:val="20"/>
                <w:szCs w:val="20"/>
                <w:lang w:val="fr-FR"/>
              </w:rPr>
            </w:pPr>
            <w:r w:rsidRPr="0036574A">
              <w:rPr>
                <w:rFonts w:ascii="Century Gothic" w:hAnsi="Century Gothic"/>
                <w:sz w:val="20"/>
                <w:szCs w:val="20"/>
                <w:lang w:val="fr-FR"/>
              </w:rPr>
              <w:t>Renforcement des organisations de base, appui à l’émergence d’une dizaine d’organisations professionnelles et à la promotion de cinq (5) PCAF régionales ou interrégionales en lien avec les associations professionnelles, les chambres de métiers, les CCI, le CENAM et le CERAM.</w:t>
            </w:r>
          </w:p>
          <w:p w:rsidR="001536B1" w:rsidRPr="0036574A" w:rsidRDefault="001536B1" w:rsidP="006E0F26">
            <w:pPr>
              <w:pStyle w:val="Titre8"/>
              <w:jc w:val="left"/>
              <w:rPr>
                <w:b/>
                <w:i w:val="0"/>
                <w:sz w:val="22"/>
                <w:szCs w:val="22"/>
                <w:lang w:val="fr-FR"/>
              </w:rPr>
            </w:pPr>
            <w:r w:rsidRPr="0036574A">
              <w:rPr>
                <w:b/>
                <w:bCs/>
                <w:i w:val="0"/>
                <w:sz w:val="22"/>
                <w:szCs w:val="22"/>
                <w:lang w:val="fr-FR"/>
              </w:rPr>
              <w:t>C</w:t>
            </w:r>
            <w:r w:rsidR="0036574A" w:rsidRPr="0036574A">
              <w:rPr>
                <w:b/>
                <w:bCs/>
                <w:i w:val="0"/>
                <w:sz w:val="22"/>
                <w:szCs w:val="22"/>
                <w:lang w:val="fr-FR"/>
              </w:rPr>
              <w:t>OMPOSANTE</w:t>
            </w:r>
            <w:r w:rsidRPr="0036574A">
              <w:rPr>
                <w:b/>
                <w:bCs/>
                <w:i w:val="0"/>
                <w:sz w:val="22"/>
                <w:szCs w:val="22"/>
                <w:lang w:val="fr-FR"/>
              </w:rPr>
              <w:t xml:space="preserve"> 2 - </w:t>
            </w:r>
            <w:r w:rsidR="006E0F26" w:rsidRPr="0036574A">
              <w:rPr>
                <w:b/>
                <w:i w:val="0"/>
                <w:sz w:val="22"/>
                <w:szCs w:val="22"/>
                <w:lang w:val="fr-FR"/>
              </w:rPr>
              <w:t>SERVICES D’APPUI AUX MICRO-ENTREPRISES RURALES ET FORMATION PROFESSIONNELLE</w:t>
            </w:r>
          </w:p>
          <w:p w:rsidR="0036574A" w:rsidRPr="00E0598B" w:rsidRDefault="0036574A" w:rsidP="0036574A">
            <w:pPr>
              <w:rPr>
                <w:lang w:val="fr-FR"/>
              </w:rPr>
            </w:pPr>
          </w:p>
          <w:p w:rsidR="0036574A" w:rsidRPr="0036574A" w:rsidRDefault="0036574A" w:rsidP="0036574A">
            <w:pPr>
              <w:rPr>
                <w:lang w:val="fr-FR"/>
              </w:rPr>
            </w:pPr>
            <w:r w:rsidRPr="0036574A">
              <w:rPr>
                <w:b/>
                <w:i/>
                <w:lang w:val="fr-FR"/>
              </w:rPr>
              <w:t>Sous composante 21 :</w:t>
            </w:r>
            <w:r w:rsidRPr="00912FF0">
              <w:rPr>
                <w:b/>
                <w:i/>
                <w:sz w:val="22"/>
                <w:szCs w:val="22"/>
                <w:lang w:val="fr-FR"/>
              </w:rPr>
              <w:t xml:space="preserve"> Services d’appui adaptés aux micro-entreprises rurales existantes</w:t>
            </w:r>
          </w:p>
          <w:p w:rsidR="0036574A" w:rsidRPr="0036574A" w:rsidRDefault="0036574A" w:rsidP="0036574A">
            <w:pPr>
              <w:rPr>
                <w:lang w:val="fr-FR"/>
              </w:rPr>
            </w:pPr>
          </w:p>
          <w:p w:rsidR="0036574A" w:rsidRDefault="0036574A" w:rsidP="006247B1">
            <w:pPr>
              <w:numPr>
                <w:ilvl w:val="0"/>
                <w:numId w:val="6"/>
              </w:numPr>
              <w:tabs>
                <w:tab w:val="clear" w:pos="1776"/>
                <w:tab w:val="num" w:pos="567"/>
              </w:tabs>
              <w:ind w:left="567" w:hanging="567"/>
              <w:jc w:val="both"/>
              <w:rPr>
                <w:rFonts w:ascii="Century Gothic" w:hAnsi="Century Gothic" w:cs="Arial"/>
                <w:sz w:val="20"/>
                <w:szCs w:val="20"/>
                <w:u w:val="single"/>
              </w:rPr>
            </w:pPr>
            <w:r w:rsidRPr="00692D3D">
              <w:rPr>
                <w:rFonts w:ascii="Century Gothic" w:hAnsi="Century Gothic" w:cs="Arial"/>
                <w:sz w:val="20"/>
                <w:szCs w:val="20"/>
                <w:u w:val="single"/>
              </w:rPr>
              <w:t xml:space="preserve">Renforcement de capacités des PSE  </w:t>
            </w:r>
          </w:p>
          <w:p w:rsidR="0036574A" w:rsidRPr="00952681" w:rsidRDefault="0036574A"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952681">
              <w:rPr>
                <w:rFonts w:ascii="Century Gothic" w:hAnsi="Century Gothic" w:cs="Arial"/>
                <w:color w:val="000000"/>
                <w:sz w:val="20"/>
                <w:szCs w:val="20"/>
              </w:rPr>
              <w:t>50 formateurs (PSE) formé en diagnostic ;</w:t>
            </w:r>
          </w:p>
          <w:p w:rsidR="0036574A" w:rsidRPr="00952681" w:rsidRDefault="0036574A"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952681">
              <w:rPr>
                <w:rFonts w:ascii="Century Gothic" w:hAnsi="Century Gothic" w:cs="Arial"/>
                <w:color w:val="000000"/>
                <w:sz w:val="20"/>
                <w:szCs w:val="20"/>
              </w:rPr>
              <w:t>75 formateurs (PSE) mis à niveau en technique et qualité ;</w:t>
            </w:r>
          </w:p>
          <w:p w:rsidR="0036574A" w:rsidRPr="00952681" w:rsidRDefault="0036574A"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952681">
              <w:rPr>
                <w:rFonts w:ascii="Century Gothic" w:hAnsi="Century Gothic" w:cs="Arial"/>
                <w:color w:val="000000"/>
                <w:sz w:val="20"/>
                <w:szCs w:val="20"/>
              </w:rPr>
              <w:t>25 formateurs (PSE) mis à niveau en marketing et commercialisation ;</w:t>
            </w:r>
          </w:p>
          <w:p w:rsidR="0036574A" w:rsidRPr="00952681" w:rsidRDefault="0036574A"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952681">
              <w:rPr>
                <w:rFonts w:ascii="Century Gothic" w:hAnsi="Century Gothic" w:cs="Arial"/>
                <w:color w:val="000000"/>
                <w:sz w:val="20"/>
                <w:szCs w:val="20"/>
              </w:rPr>
              <w:t>75 formateurs (PSE) en gestion.</w:t>
            </w:r>
          </w:p>
          <w:p w:rsidR="0036574A" w:rsidRPr="00952681" w:rsidRDefault="0036574A" w:rsidP="00623329">
            <w:pPr>
              <w:pStyle w:val="Paragraphedeliste"/>
              <w:spacing w:after="0" w:line="240" w:lineRule="auto"/>
              <w:ind w:left="1290"/>
              <w:jc w:val="both"/>
              <w:rPr>
                <w:rFonts w:ascii="Century Gothic" w:hAnsi="Century Gothic" w:cs="Arial"/>
                <w:color w:val="000000"/>
                <w:sz w:val="20"/>
                <w:szCs w:val="20"/>
              </w:rPr>
            </w:pPr>
          </w:p>
          <w:p w:rsidR="0036574A" w:rsidRDefault="0036574A" w:rsidP="006247B1">
            <w:pPr>
              <w:numPr>
                <w:ilvl w:val="0"/>
                <w:numId w:val="6"/>
              </w:numPr>
              <w:tabs>
                <w:tab w:val="clear" w:pos="1776"/>
                <w:tab w:val="num" w:pos="567"/>
              </w:tabs>
              <w:ind w:left="567" w:hanging="567"/>
              <w:jc w:val="both"/>
              <w:rPr>
                <w:rFonts w:ascii="Century Gothic" w:hAnsi="Century Gothic" w:cs="Arial"/>
                <w:sz w:val="20"/>
                <w:szCs w:val="20"/>
                <w:u w:val="single"/>
                <w:lang w:val="fr-FR"/>
              </w:rPr>
            </w:pPr>
            <w:r w:rsidRPr="0036574A">
              <w:rPr>
                <w:rFonts w:ascii="Century Gothic" w:hAnsi="Century Gothic" w:cs="Arial"/>
                <w:sz w:val="20"/>
                <w:szCs w:val="20"/>
                <w:u w:val="single"/>
                <w:lang w:val="fr-FR"/>
              </w:rPr>
              <w:t>Renforcement de capacités techniques, de gestion et en marketing des MER/PER existantes </w:t>
            </w:r>
          </w:p>
          <w:p w:rsidR="0036574A" w:rsidRPr="00952681" w:rsidRDefault="0036574A"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952681">
              <w:rPr>
                <w:rFonts w:ascii="Century Gothic" w:hAnsi="Century Gothic" w:cs="Arial"/>
                <w:color w:val="000000"/>
                <w:sz w:val="20"/>
                <w:szCs w:val="20"/>
              </w:rPr>
              <w:t>2 000 MER/PER formées en technique et qualité ;</w:t>
            </w:r>
          </w:p>
          <w:p w:rsidR="0036574A" w:rsidRPr="00952681" w:rsidRDefault="0036574A"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952681">
              <w:rPr>
                <w:rFonts w:ascii="Century Gothic" w:hAnsi="Century Gothic" w:cs="Arial"/>
                <w:color w:val="000000"/>
                <w:sz w:val="20"/>
                <w:szCs w:val="20"/>
              </w:rPr>
              <w:t>3 000 MER/PER formées en gestion ;</w:t>
            </w:r>
          </w:p>
          <w:p w:rsidR="0036574A" w:rsidRPr="00952681" w:rsidRDefault="0036574A"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952681">
              <w:rPr>
                <w:rFonts w:ascii="Century Gothic" w:hAnsi="Century Gothic" w:cs="Arial"/>
                <w:color w:val="000000"/>
                <w:sz w:val="20"/>
                <w:szCs w:val="20"/>
              </w:rPr>
              <w:t>1 200 MER/PER formées en marketing et commercialisation.</w:t>
            </w:r>
          </w:p>
          <w:p w:rsidR="00623329" w:rsidRPr="00952681" w:rsidRDefault="00623329" w:rsidP="00623329">
            <w:pPr>
              <w:pStyle w:val="Paragraphedeliste"/>
              <w:spacing w:after="0" w:line="240" w:lineRule="auto"/>
              <w:ind w:left="1290"/>
              <w:jc w:val="both"/>
              <w:rPr>
                <w:rFonts w:ascii="Century Gothic" w:hAnsi="Century Gothic" w:cs="Arial"/>
                <w:color w:val="000000"/>
                <w:sz w:val="20"/>
                <w:szCs w:val="20"/>
              </w:rPr>
            </w:pPr>
          </w:p>
          <w:p w:rsidR="0036574A" w:rsidRDefault="0036574A" w:rsidP="0036574A">
            <w:pPr>
              <w:rPr>
                <w:b/>
                <w:i/>
                <w:iCs/>
                <w:szCs w:val="22"/>
                <w:lang w:val="fr-FR"/>
              </w:rPr>
            </w:pPr>
            <w:r w:rsidRPr="0036574A">
              <w:rPr>
                <w:b/>
                <w:i/>
                <w:lang w:val="fr-FR"/>
              </w:rPr>
              <w:t>Sous composante 22 :</w:t>
            </w:r>
            <w:r w:rsidRPr="0036574A">
              <w:rPr>
                <w:b/>
                <w:i/>
                <w:iCs/>
                <w:szCs w:val="22"/>
                <w:lang w:val="fr-FR"/>
              </w:rPr>
              <w:t xml:space="preserve"> Renforcement des structures professionnelles et de l’interface Public-Privé</w:t>
            </w:r>
          </w:p>
          <w:p w:rsidR="0036574A" w:rsidRPr="0036574A" w:rsidRDefault="0036574A" w:rsidP="0036574A">
            <w:pPr>
              <w:rPr>
                <w:b/>
                <w:i/>
                <w:lang w:val="fr-FR"/>
              </w:rPr>
            </w:pPr>
          </w:p>
          <w:p w:rsidR="0036574A" w:rsidRDefault="0036574A" w:rsidP="006247B1">
            <w:pPr>
              <w:numPr>
                <w:ilvl w:val="0"/>
                <w:numId w:val="6"/>
              </w:numPr>
              <w:tabs>
                <w:tab w:val="clear" w:pos="1776"/>
                <w:tab w:val="num" w:pos="567"/>
              </w:tabs>
              <w:ind w:left="567" w:hanging="567"/>
              <w:jc w:val="both"/>
              <w:rPr>
                <w:rFonts w:ascii="Century Gothic" w:hAnsi="Century Gothic" w:cs="Arial"/>
                <w:sz w:val="20"/>
                <w:szCs w:val="20"/>
                <w:u w:val="single"/>
                <w:lang w:val="fr-FR"/>
              </w:rPr>
            </w:pPr>
            <w:r w:rsidRPr="0036574A">
              <w:rPr>
                <w:rFonts w:ascii="Century Gothic" w:hAnsi="Century Gothic" w:cs="Arial"/>
                <w:sz w:val="20"/>
                <w:szCs w:val="20"/>
                <w:u w:val="single"/>
                <w:lang w:val="fr-FR"/>
              </w:rPr>
              <w:t xml:space="preserve">Renforcement de capacités des PSE en alphabétisation </w:t>
            </w:r>
          </w:p>
          <w:p w:rsidR="0036574A" w:rsidRPr="00952681" w:rsidRDefault="0036574A" w:rsidP="006247B1">
            <w:pPr>
              <w:pStyle w:val="Paragraphedeliste"/>
              <w:numPr>
                <w:ilvl w:val="0"/>
                <w:numId w:val="8"/>
              </w:numPr>
              <w:spacing w:after="0" w:line="240" w:lineRule="auto"/>
              <w:jc w:val="both"/>
              <w:rPr>
                <w:rFonts w:ascii="Century Gothic" w:hAnsi="Century Gothic" w:cs="Arial"/>
                <w:sz w:val="20"/>
                <w:szCs w:val="20"/>
              </w:rPr>
            </w:pPr>
            <w:r w:rsidRPr="00952681">
              <w:rPr>
                <w:rFonts w:ascii="Century Gothic" w:hAnsi="Century Gothic" w:cs="Arial"/>
                <w:sz w:val="20"/>
                <w:szCs w:val="20"/>
              </w:rPr>
              <w:t>5 PSE formateurs en alphabétisation des jeunes ;</w:t>
            </w:r>
          </w:p>
          <w:p w:rsidR="0036574A" w:rsidRPr="00952681" w:rsidRDefault="0036574A" w:rsidP="006247B1">
            <w:pPr>
              <w:pStyle w:val="Paragraphedeliste"/>
              <w:numPr>
                <w:ilvl w:val="0"/>
                <w:numId w:val="8"/>
              </w:numPr>
              <w:spacing w:after="0" w:line="240" w:lineRule="auto"/>
              <w:jc w:val="both"/>
              <w:rPr>
                <w:rFonts w:ascii="Century Gothic" w:hAnsi="Century Gothic" w:cs="Arial"/>
                <w:sz w:val="20"/>
                <w:szCs w:val="20"/>
              </w:rPr>
            </w:pPr>
            <w:r w:rsidRPr="00952681">
              <w:rPr>
                <w:rFonts w:ascii="Century Gothic" w:hAnsi="Century Gothic" w:cs="Arial"/>
                <w:sz w:val="20"/>
                <w:szCs w:val="20"/>
              </w:rPr>
              <w:t>12 PSE formateurs en alphabétisation des adultes ;</w:t>
            </w:r>
          </w:p>
          <w:p w:rsidR="0036574A" w:rsidRPr="00952681" w:rsidRDefault="0036574A" w:rsidP="006247B1">
            <w:pPr>
              <w:pStyle w:val="Paragraphedeliste"/>
              <w:numPr>
                <w:ilvl w:val="0"/>
                <w:numId w:val="8"/>
              </w:numPr>
              <w:spacing w:after="0" w:line="240" w:lineRule="auto"/>
              <w:jc w:val="both"/>
              <w:rPr>
                <w:rFonts w:ascii="Century Gothic" w:hAnsi="Century Gothic" w:cs="Arial"/>
                <w:sz w:val="20"/>
                <w:szCs w:val="20"/>
              </w:rPr>
            </w:pPr>
            <w:r w:rsidRPr="00952681">
              <w:rPr>
                <w:rFonts w:ascii="Century Gothic" w:hAnsi="Century Gothic" w:cs="Arial"/>
                <w:sz w:val="20"/>
                <w:szCs w:val="20"/>
              </w:rPr>
              <w:t xml:space="preserve">76 alphabétiseurs formés. </w:t>
            </w:r>
          </w:p>
          <w:p w:rsidR="0036574A" w:rsidRPr="00952681" w:rsidRDefault="0036574A" w:rsidP="0036574A">
            <w:pPr>
              <w:pStyle w:val="Paragraphedeliste"/>
              <w:spacing w:after="0" w:line="240" w:lineRule="auto"/>
              <w:ind w:left="1287"/>
              <w:jc w:val="both"/>
              <w:rPr>
                <w:rFonts w:ascii="Century Gothic" w:hAnsi="Century Gothic" w:cs="Arial"/>
                <w:sz w:val="20"/>
                <w:szCs w:val="20"/>
              </w:rPr>
            </w:pPr>
          </w:p>
          <w:p w:rsidR="0036574A" w:rsidRDefault="0036574A" w:rsidP="006247B1">
            <w:pPr>
              <w:numPr>
                <w:ilvl w:val="0"/>
                <w:numId w:val="6"/>
              </w:numPr>
              <w:tabs>
                <w:tab w:val="clear" w:pos="1776"/>
                <w:tab w:val="num" w:pos="567"/>
              </w:tabs>
              <w:ind w:left="567" w:hanging="567"/>
              <w:jc w:val="both"/>
              <w:rPr>
                <w:rFonts w:ascii="Century Gothic" w:hAnsi="Century Gothic" w:cs="Arial"/>
                <w:sz w:val="20"/>
                <w:szCs w:val="20"/>
                <w:u w:val="single"/>
                <w:lang w:val="fr-FR"/>
              </w:rPr>
            </w:pPr>
            <w:r w:rsidRPr="0036574A">
              <w:rPr>
                <w:rFonts w:ascii="Century Gothic" w:hAnsi="Century Gothic" w:cs="Arial"/>
                <w:sz w:val="20"/>
                <w:szCs w:val="20"/>
                <w:u w:val="single"/>
                <w:lang w:val="fr-FR"/>
              </w:rPr>
              <w:t>Alphabétisation des jeunes et adultes ruraux</w:t>
            </w:r>
          </w:p>
          <w:p w:rsidR="0036574A" w:rsidRPr="00952681" w:rsidRDefault="0036574A" w:rsidP="006247B1">
            <w:pPr>
              <w:pStyle w:val="Paragraphedeliste"/>
              <w:numPr>
                <w:ilvl w:val="0"/>
                <w:numId w:val="8"/>
              </w:numPr>
              <w:spacing w:after="0" w:line="240" w:lineRule="auto"/>
              <w:jc w:val="both"/>
              <w:rPr>
                <w:rFonts w:ascii="Century Gothic" w:hAnsi="Century Gothic" w:cs="Arial"/>
                <w:sz w:val="20"/>
                <w:szCs w:val="20"/>
              </w:rPr>
            </w:pPr>
            <w:r w:rsidRPr="00952681">
              <w:rPr>
                <w:rFonts w:ascii="Century Gothic" w:hAnsi="Century Gothic" w:cs="Arial"/>
                <w:sz w:val="20"/>
                <w:szCs w:val="20"/>
              </w:rPr>
              <w:t>570 Jeunes alphabétisés (30 jeunes ruraux par site) ;</w:t>
            </w:r>
          </w:p>
          <w:p w:rsidR="0036574A" w:rsidRPr="00952681" w:rsidRDefault="0036574A" w:rsidP="006247B1">
            <w:pPr>
              <w:pStyle w:val="Paragraphedeliste"/>
              <w:numPr>
                <w:ilvl w:val="0"/>
                <w:numId w:val="8"/>
              </w:numPr>
              <w:spacing w:after="0" w:line="240" w:lineRule="auto"/>
              <w:jc w:val="both"/>
              <w:rPr>
                <w:rFonts w:ascii="Century Gothic" w:hAnsi="Century Gothic" w:cs="Arial"/>
                <w:sz w:val="20"/>
                <w:szCs w:val="20"/>
              </w:rPr>
            </w:pPr>
            <w:r w:rsidRPr="00952681">
              <w:rPr>
                <w:rFonts w:ascii="Century Gothic" w:hAnsi="Century Gothic" w:cs="Arial"/>
                <w:sz w:val="20"/>
                <w:szCs w:val="20"/>
              </w:rPr>
              <w:t>570 Adultes alphabétisés (30 adultes ruraux par site).</w:t>
            </w:r>
          </w:p>
          <w:p w:rsidR="0036574A" w:rsidRPr="00952681" w:rsidRDefault="0036574A" w:rsidP="0036574A">
            <w:pPr>
              <w:pStyle w:val="Paragraphedeliste"/>
              <w:spacing w:after="0" w:line="240" w:lineRule="auto"/>
              <w:ind w:left="1287"/>
              <w:jc w:val="both"/>
              <w:rPr>
                <w:rFonts w:ascii="Century Gothic" w:hAnsi="Century Gothic" w:cs="Arial"/>
                <w:sz w:val="20"/>
                <w:szCs w:val="20"/>
              </w:rPr>
            </w:pPr>
          </w:p>
          <w:p w:rsidR="0036574A" w:rsidRPr="00692D3D" w:rsidRDefault="0036574A" w:rsidP="006247B1">
            <w:pPr>
              <w:numPr>
                <w:ilvl w:val="0"/>
                <w:numId w:val="6"/>
              </w:numPr>
              <w:tabs>
                <w:tab w:val="clear" w:pos="1776"/>
                <w:tab w:val="num" w:pos="567"/>
              </w:tabs>
              <w:ind w:left="567" w:hanging="567"/>
              <w:jc w:val="both"/>
              <w:rPr>
                <w:rFonts w:ascii="Century Gothic" w:hAnsi="Century Gothic" w:cs="Arial"/>
                <w:sz w:val="20"/>
                <w:szCs w:val="20"/>
                <w:u w:val="single"/>
              </w:rPr>
            </w:pPr>
            <w:r w:rsidRPr="00692D3D">
              <w:rPr>
                <w:rFonts w:ascii="Century Gothic" w:hAnsi="Century Gothic" w:cs="Arial"/>
                <w:sz w:val="20"/>
                <w:szCs w:val="20"/>
                <w:u w:val="single"/>
              </w:rPr>
              <w:t>Apprentissage des jeunes ruraux.</w:t>
            </w:r>
          </w:p>
          <w:p w:rsidR="0036574A" w:rsidRPr="00952681" w:rsidRDefault="0036574A" w:rsidP="006247B1">
            <w:pPr>
              <w:pStyle w:val="Paragraphedeliste"/>
              <w:numPr>
                <w:ilvl w:val="0"/>
                <w:numId w:val="8"/>
              </w:numPr>
              <w:spacing w:after="0" w:line="240" w:lineRule="auto"/>
              <w:jc w:val="both"/>
              <w:rPr>
                <w:rFonts w:ascii="Century Gothic" w:hAnsi="Century Gothic" w:cs="Arial"/>
                <w:sz w:val="20"/>
                <w:szCs w:val="20"/>
              </w:rPr>
            </w:pPr>
            <w:r w:rsidRPr="00952681">
              <w:rPr>
                <w:rFonts w:ascii="Century Gothic" w:hAnsi="Century Gothic" w:cs="Arial"/>
                <w:sz w:val="20"/>
                <w:szCs w:val="20"/>
              </w:rPr>
              <w:t>500 jeunes apprentis mis en apprentissage ;</w:t>
            </w:r>
          </w:p>
          <w:p w:rsidR="0036574A" w:rsidRPr="00952681" w:rsidRDefault="0036574A" w:rsidP="006247B1">
            <w:pPr>
              <w:pStyle w:val="Paragraphedeliste"/>
              <w:numPr>
                <w:ilvl w:val="0"/>
                <w:numId w:val="8"/>
              </w:numPr>
              <w:spacing w:after="0" w:line="240" w:lineRule="auto"/>
              <w:jc w:val="both"/>
              <w:rPr>
                <w:rFonts w:ascii="Century Gothic" w:hAnsi="Century Gothic" w:cs="Arial"/>
                <w:sz w:val="20"/>
                <w:szCs w:val="20"/>
              </w:rPr>
            </w:pPr>
            <w:r w:rsidRPr="00952681">
              <w:rPr>
                <w:rFonts w:ascii="Century Gothic" w:hAnsi="Century Gothic" w:cs="Arial"/>
                <w:sz w:val="20"/>
                <w:szCs w:val="20"/>
              </w:rPr>
              <w:t>100 MER/PER hôtes identifiés et ayant accueilli les apprentis.</w:t>
            </w:r>
          </w:p>
          <w:p w:rsidR="00C25655" w:rsidRDefault="00C25655" w:rsidP="00C25655">
            <w:pPr>
              <w:pStyle w:val="Titre8"/>
              <w:spacing w:before="0" w:after="0"/>
              <w:rPr>
                <w:b/>
                <w:bCs/>
                <w:i w:val="0"/>
                <w:iCs w:val="0"/>
                <w:sz w:val="22"/>
                <w:szCs w:val="22"/>
                <w:lang w:val="fr-FR"/>
              </w:rPr>
            </w:pPr>
          </w:p>
          <w:p w:rsidR="00BD0273" w:rsidRDefault="001536B1" w:rsidP="00C25655">
            <w:pPr>
              <w:pStyle w:val="Titre8"/>
              <w:spacing w:before="0" w:after="0"/>
              <w:rPr>
                <w:b/>
                <w:bCs/>
                <w:i w:val="0"/>
                <w:iCs w:val="0"/>
                <w:sz w:val="22"/>
                <w:szCs w:val="22"/>
                <w:lang w:val="fr-FR"/>
              </w:rPr>
            </w:pPr>
            <w:r w:rsidRPr="00623329">
              <w:rPr>
                <w:b/>
                <w:bCs/>
                <w:i w:val="0"/>
                <w:iCs w:val="0"/>
                <w:sz w:val="22"/>
                <w:szCs w:val="22"/>
                <w:lang w:val="fr-FR"/>
              </w:rPr>
              <w:t>C</w:t>
            </w:r>
            <w:r w:rsidR="0036574A" w:rsidRPr="00623329">
              <w:rPr>
                <w:b/>
                <w:bCs/>
                <w:i w:val="0"/>
                <w:iCs w:val="0"/>
                <w:sz w:val="22"/>
                <w:szCs w:val="22"/>
                <w:lang w:val="fr-FR"/>
              </w:rPr>
              <w:t xml:space="preserve">OMPOSANTE </w:t>
            </w:r>
            <w:r w:rsidRPr="00623329">
              <w:rPr>
                <w:b/>
                <w:bCs/>
                <w:i w:val="0"/>
                <w:iCs w:val="0"/>
                <w:sz w:val="22"/>
                <w:szCs w:val="22"/>
                <w:lang w:val="fr-FR"/>
              </w:rPr>
              <w:t xml:space="preserve"> 3 - </w:t>
            </w:r>
            <w:r w:rsidR="00BD0273" w:rsidRPr="00623329">
              <w:rPr>
                <w:b/>
                <w:bCs/>
                <w:i w:val="0"/>
                <w:iCs w:val="0"/>
                <w:sz w:val="22"/>
                <w:szCs w:val="22"/>
                <w:lang w:val="fr-FR"/>
              </w:rPr>
              <w:t>FINANCES RURALES ET GESTION DES RISQUES</w:t>
            </w:r>
            <w:r w:rsidR="00623329">
              <w:rPr>
                <w:b/>
                <w:bCs/>
                <w:i w:val="0"/>
                <w:iCs w:val="0"/>
                <w:sz w:val="22"/>
                <w:szCs w:val="22"/>
                <w:lang w:val="fr-FR"/>
              </w:rPr>
              <w:t xml:space="preserve"> </w:t>
            </w:r>
          </w:p>
          <w:p w:rsidR="00623329" w:rsidRPr="00623329" w:rsidRDefault="00623329" w:rsidP="00C25655">
            <w:pPr>
              <w:rPr>
                <w:rFonts w:ascii="Arial" w:hAnsi="Arial"/>
                <w:lang w:val="fr-FR" w:eastAsia="en-US"/>
              </w:rPr>
            </w:pPr>
          </w:p>
          <w:p w:rsidR="00623329" w:rsidRPr="00C25655" w:rsidRDefault="00623329" w:rsidP="00C25655">
            <w:pPr>
              <w:rPr>
                <w:b/>
                <w:i/>
                <w:sz w:val="22"/>
                <w:szCs w:val="22"/>
                <w:lang w:val="fr-FR"/>
              </w:rPr>
            </w:pPr>
            <w:r w:rsidRPr="00C25655">
              <w:rPr>
                <w:b/>
                <w:i/>
                <w:sz w:val="22"/>
                <w:szCs w:val="22"/>
                <w:u w:val="single"/>
                <w:lang w:val="fr-FR"/>
              </w:rPr>
              <w:t>Sous composante 31</w:t>
            </w:r>
            <w:r w:rsidRPr="00C25655">
              <w:rPr>
                <w:b/>
                <w:i/>
                <w:sz w:val="22"/>
                <w:szCs w:val="22"/>
                <w:lang w:val="fr-FR"/>
              </w:rPr>
              <w:t xml:space="preserve"> : </w:t>
            </w:r>
            <w:r w:rsidRPr="00C25655">
              <w:rPr>
                <w:b/>
                <w:i/>
                <w:iCs/>
                <w:sz w:val="22"/>
                <w:szCs w:val="22"/>
                <w:lang w:val="fr-FR"/>
              </w:rPr>
              <w:t>Accès aux crédits</w:t>
            </w:r>
          </w:p>
          <w:p w:rsidR="00623329" w:rsidRPr="00C25655" w:rsidRDefault="00623329" w:rsidP="00623329">
            <w:pPr>
              <w:rPr>
                <w:lang w:val="fr-FR"/>
              </w:rPr>
            </w:pPr>
          </w:p>
          <w:p w:rsidR="00623329" w:rsidRPr="00623329" w:rsidRDefault="00623329" w:rsidP="006247B1">
            <w:pPr>
              <w:numPr>
                <w:ilvl w:val="0"/>
                <w:numId w:val="9"/>
              </w:numPr>
              <w:autoSpaceDE w:val="0"/>
              <w:autoSpaceDN w:val="0"/>
              <w:adjustRightInd w:val="0"/>
              <w:ind w:left="567" w:hanging="567"/>
              <w:jc w:val="both"/>
              <w:rPr>
                <w:rFonts w:ascii="Century Gothic" w:hAnsi="Century Gothic"/>
                <w:sz w:val="20"/>
                <w:szCs w:val="20"/>
                <w:lang w:val="fr-FR" w:eastAsia="fr-FR"/>
              </w:rPr>
            </w:pPr>
            <w:r w:rsidRPr="00623329">
              <w:rPr>
                <w:rFonts w:ascii="Century Gothic" w:hAnsi="Century Gothic"/>
                <w:sz w:val="20"/>
                <w:szCs w:val="20"/>
                <w:lang w:val="fr-FR" w:eastAsia="fr-FR"/>
              </w:rPr>
              <w:t>Facilitation de l’accès aux services financiers pérennes pour les MER par la création de 12 nouvelles caisses et le renforcement des services administratifs locaux;</w:t>
            </w:r>
          </w:p>
          <w:p w:rsidR="00623329" w:rsidRPr="00623329" w:rsidRDefault="00623329" w:rsidP="006247B1">
            <w:pPr>
              <w:numPr>
                <w:ilvl w:val="0"/>
                <w:numId w:val="9"/>
              </w:numPr>
              <w:autoSpaceDE w:val="0"/>
              <w:autoSpaceDN w:val="0"/>
              <w:adjustRightInd w:val="0"/>
              <w:ind w:left="567" w:hanging="567"/>
              <w:jc w:val="both"/>
              <w:rPr>
                <w:rFonts w:ascii="Century Gothic" w:hAnsi="Century Gothic"/>
                <w:sz w:val="20"/>
                <w:szCs w:val="20"/>
                <w:lang w:val="fr-FR" w:eastAsia="fr-FR"/>
              </w:rPr>
            </w:pPr>
            <w:r w:rsidRPr="00623329">
              <w:rPr>
                <w:rFonts w:ascii="Century Gothic" w:hAnsi="Century Gothic"/>
                <w:sz w:val="20"/>
                <w:szCs w:val="20"/>
                <w:lang w:val="fr-FR" w:eastAsia="fr-FR"/>
              </w:rPr>
              <w:t>Renforcement de l’engagement du secteur financier en soutien aux investissements des MER par la mise en place de la Facilité d’Investissement Rural ;</w:t>
            </w:r>
          </w:p>
          <w:p w:rsidR="00623329" w:rsidRPr="00623329" w:rsidRDefault="00623329" w:rsidP="00623329">
            <w:pPr>
              <w:autoSpaceDE w:val="0"/>
              <w:autoSpaceDN w:val="0"/>
              <w:adjustRightInd w:val="0"/>
              <w:ind w:left="567"/>
              <w:jc w:val="both"/>
              <w:rPr>
                <w:rFonts w:ascii="Century Gothic" w:hAnsi="Century Gothic"/>
                <w:sz w:val="20"/>
                <w:szCs w:val="20"/>
                <w:lang w:val="fr-FR" w:eastAsia="fr-FR"/>
              </w:rPr>
            </w:pPr>
          </w:p>
          <w:p w:rsidR="00623329" w:rsidRPr="00623329" w:rsidRDefault="00623329" w:rsidP="00623329">
            <w:pPr>
              <w:rPr>
                <w:b/>
                <w:i/>
                <w:sz w:val="22"/>
                <w:szCs w:val="22"/>
                <w:lang w:val="fr-FR"/>
              </w:rPr>
            </w:pPr>
            <w:r w:rsidRPr="00623329">
              <w:rPr>
                <w:b/>
                <w:i/>
                <w:sz w:val="22"/>
                <w:szCs w:val="22"/>
                <w:u w:val="single"/>
                <w:lang w:val="fr-FR"/>
              </w:rPr>
              <w:t>Sous composante 32</w:t>
            </w:r>
            <w:r w:rsidRPr="00623329">
              <w:rPr>
                <w:b/>
                <w:i/>
                <w:sz w:val="22"/>
                <w:szCs w:val="22"/>
                <w:lang w:val="fr-FR"/>
              </w:rPr>
              <w:t xml:space="preserve"> : </w:t>
            </w:r>
            <w:r w:rsidRPr="00623329">
              <w:rPr>
                <w:b/>
                <w:i/>
                <w:iCs/>
                <w:sz w:val="22"/>
                <w:szCs w:val="22"/>
                <w:lang w:val="fr-FR"/>
              </w:rPr>
              <w:t>Outils de gestion des risques</w:t>
            </w:r>
          </w:p>
          <w:p w:rsidR="00623329" w:rsidRPr="00623329" w:rsidRDefault="00623329" w:rsidP="00623329">
            <w:pPr>
              <w:rPr>
                <w:lang w:val="fr-FR"/>
              </w:rPr>
            </w:pPr>
          </w:p>
          <w:p w:rsidR="00623329" w:rsidRPr="00623329" w:rsidRDefault="00623329" w:rsidP="006247B1">
            <w:pPr>
              <w:numPr>
                <w:ilvl w:val="0"/>
                <w:numId w:val="9"/>
              </w:numPr>
              <w:autoSpaceDE w:val="0"/>
              <w:autoSpaceDN w:val="0"/>
              <w:adjustRightInd w:val="0"/>
              <w:ind w:left="567" w:hanging="567"/>
              <w:jc w:val="both"/>
              <w:rPr>
                <w:rFonts w:ascii="Century Gothic" w:hAnsi="Century Gothic"/>
                <w:sz w:val="20"/>
                <w:szCs w:val="20"/>
                <w:lang w:val="fr-FR" w:eastAsia="fr-FR"/>
              </w:rPr>
            </w:pPr>
            <w:r w:rsidRPr="00623329">
              <w:rPr>
                <w:rFonts w:ascii="Century Gothic" w:hAnsi="Century Gothic"/>
                <w:sz w:val="20"/>
                <w:szCs w:val="20"/>
                <w:lang w:val="fr-FR" w:eastAsia="fr-FR"/>
              </w:rPr>
              <w:t>Diversification des produits financiers par la mise en place du FAPEX ;</w:t>
            </w:r>
          </w:p>
          <w:p w:rsidR="00623329" w:rsidRPr="00623329" w:rsidRDefault="00623329" w:rsidP="006247B1">
            <w:pPr>
              <w:numPr>
                <w:ilvl w:val="0"/>
                <w:numId w:val="9"/>
              </w:numPr>
              <w:autoSpaceDE w:val="0"/>
              <w:autoSpaceDN w:val="0"/>
              <w:adjustRightInd w:val="0"/>
              <w:ind w:left="567" w:hanging="567"/>
              <w:jc w:val="both"/>
              <w:rPr>
                <w:rFonts w:ascii="Century Gothic" w:hAnsi="Century Gothic"/>
                <w:sz w:val="20"/>
                <w:szCs w:val="20"/>
                <w:lang w:val="fr-FR" w:eastAsia="fr-FR"/>
              </w:rPr>
            </w:pPr>
            <w:r w:rsidRPr="00623329">
              <w:rPr>
                <w:rFonts w:ascii="Century Gothic" w:hAnsi="Century Gothic"/>
                <w:sz w:val="20"/>
                <w:szCs w:val="20"/>
                <w:lang w:val="fr-FR" w:eastAsia="fr-FR"/>
              </w:rPr>
              <w:t>Contribution à l’opérationnalisation du groupe de réflexion sur les financements agricoles et ruraux mise à disposition d’une politique et des stratégies adaptées aux financements agricoles et rurales.</w:t>
            </w:r>
          </w:p>
          <w:p w:rsidR="001536B1" w:rsidRPr="00623329" w:rsidRDefault="001536B1" w:rsidP="0098253E">
            <w:pPr>
              <w:pStyle w:val="Titre8"/>
              <w:rPr>
                <w:b/>
                <w:bCs/>
                <w:i w:val="0"/>
                <w:sz w:val="22"/>
                <w:szCs w:val="22"/>
                <w:lang w:val="fr-FR"/>
              </w:rPr>
            </w:pPr>
            <w:r w:rsidRPr="00623329">
              <w:rPr>
                <w:b/>
                <w:bCs/>
                <w:i w:val="0"/>
                <w:sz w:val="22"/>
                <w:szCs w:val="22"/>
                <w:lang w:val="fr-FR"/>
              </w:rPr>
              <w:t>C</w:t>
            </w:r>
            <w:r w:rsidR="00623329" w:rsidRPr="00623329">
              <w:rPr>
                <w:b/>
                <w:bCs/>
                <w:i w:val="0"/>
                <w:sz w:val="22"/>
                <w:szCs w:val="22"/>
                <w:lang w:val="fr-FR"/>
              </w:rPr>
              <w:t xml:space="preserve">OMPOSANTE </w:t>
            </w:r>
            <w:r w:rsidRPr="00623329">
              <w:rPr>
                <w:b/>
                <w:bCs/>
                <w:i w:val="0"/>
                <w:sz w:val="22"/>
                <w:szCs w:val="22"/>
                <w:lang w:val="fr-FR"/>
              </w:rPr>
              <w:t xml:space="preserve">4 - </w:t>
            </w:r>
            <w:r w:rsidR="00CD5D06" w:rsidRPr="00623329">
              <w:rPr>
                <w:b/>
                <w:bCs/>
                <w:i w:val="0"/>
                <w:sz w:val="22"/>
                <w:szCs w:val="22"/>
                <w:lang w:val="fr-FR"/>
              </w:rPr>
              <w:t>INFRASTRUCTURES DE MARCHE ET INVESTISSEMENTS STRUCTURANTS</w:t>
            </w:r>
          </w:p>
          <w:p w:rsidR="00481EF7" w:rsidRDefault="00481EF7" w:rsidP="00481EF7">
            <w:pPr>
              <w:autoSpaceDE w:val="0"/>
              <w:autoSpaceDN w:val="0"/>
              <w:adjustRightInd w:val="0"/>
              <w:jc w:val="both"/>
              <w:rPr>
                <w:b/>
                <w:bCs/>
                <w:i/>
                <w:iCs/>
                <w:szCs w:val="22"/>
                <w:lang w:val="fr-FR"/>
              </w:rPr>
            </w:pPr>
          </w:p>
          <w:p w:rsidR="00481EF7" w:rsidRPr="00481EF7" w:rsidRDefault="00481EF7" w:rsidP="00481EF7">
            <w:pPr>
              <w:autoSpaceDE w:val="0"/>
              <w:autoSpaceDN w:val="0"/>
              <w:adjustRightInd w:val="0"/>
              <w:jc w:val="both"/>
              <w:rPr>
                <w:b/>
                <w:i/>
                <w:sz w:val="22"/>
                <w:szCs w:val="22"/>
                <w:lang w:eastAsia="fr-FR"/>
              </w:rPr>
            </w:pPr>
            <w:r w:rsidRPr="00481EF7">
              <w:rPr>
                <w:b/>
                <w:i/>
                <w:sz w:val="22"/>
                <w:szCs w:val="22"/>
                <w:u w:val="single"/>
                <w:lang w:eastAsia="fr-FR"/>
              </w:rPr>
              <w:t>Sous composante 41</w:t>
            </w:r>
            <w:r w:rsidRPr="00481EF7">
              <w:rPr>
                <w:b/>
                <w:i/>
                <w:sz w:val="22"/>
                <w:szCs w:val="22"/>
                <w:lang w:eastAsia="fr-FR"/>
              </w:rPr>
              <w:t xml:space="preserve">: </w:t>
            </w:r>
            <w:r w:rsidRPr="00481EF7">
              <w:rPr>
                <w:b/>
                <w:i/>
                <w:sz w:val="22"/>
                <w:szCs w:val="22"/>
                <w:lang w:val="fr-FR"/>
              </w:rPr>
              <w:t>Infrastructures publiques</w:t>
            </w:r>
          </w:p>
          <w:p w:rsidR="00481EF7" w:rsidRDefault="00481EF7" w:rsidP="00481EF7">
            <w:pPr>
              <w:autoSpaceDE w:val="0"/>
              <w:autoSpaceDN w:val="0"/>
              <w:adjustRightInd w:val="0"/>
              <w:jc w:val="both"/>
              <w:rPr>
                <w:rFonts w:ascii="Century Gothic" w:hAnsi="Century Gothic"/>
                <w:sz w:val="20"/>
                <w:szCs w:val="20"/>
                <w:lang w:eastAsia="fr-FR"/>
              </w:rPr>
            </w:pPr>
          </w:p>
          <w:p w:rsidR="00481EF7" w:rsidRPr="00481EF7" w:rsidRDefault="00481EF7" w:rsidP="00E0598B">
            <w:pPr>
              <w:numPr>
                <w:ilvl w:val="0"/>
                <w:numId w:val="9"/>
              </w:numPr>
              <w:autoSpaceDE w:val="0"/>
              <w:autoSpaceDN w:val="0"/>
              <w:adjustRightInd w:val="0"/>
              <w:ind w:left="567" w:hanging="567"/>
              <w:jc w:val="both"/>
              <w:rPr>
                <w:rFonts w:ascii="Century Gothic" w:hAnsi="Century Gothic"/>
                <w:sz w:val="20"/>
                <w:szCs w:val="20"/>
                <w:lang w:val="fr-FR" w:eastAsia="fr-FR"/>
              </w:rPr>
            </w:pPr>
            <w:r w:rsidRPr="00481EF7">
              <w:rPr>
                <w:rFonts w:ascii="Century Gothic" w:hAnsi="Century Gothic"/>
                <w:sz w:val="20"/>
                <w:szCs w:val="20"/>
                <w:lang w:val="fr-FR" w:eastAsia="fr-FR"/>
              </w:rPr>
              <w:t xml:space="preserve">70 % des travaux réalisés sur les </w:t>
            </w:r>
            <w:smartTag w:uri="urn:schemas-microsoft-com:office:smarttags" w:element="metricconverter">
              <w:smartTagPr>
                <w:attr w:name="ProductID" w:val="110 km"/>
              </w:smartTagPr>
              <w:r w:rsidRPr="00481EF7">
                <w:rPr>
                  <w:rFonts w:ascii="Century Gothic" w:hAnsi="Century Gothic"/>
                  <w:sz w:val="20"/>
                  <w:szCs w:val="20"/>
                  <w:lang w:val="fr-FR" w:eastAsia="fr-FR"/>
                </w:rPr>
                <w:t>110 km</w:t>
              </w:r>
            </w:smartTag>
            <w:r w:rsidRPr="00481EF7">
              <w:rPr>
                <w:rFonts w:ascii="Century Gothic" w:hAnsi="Century Gothic"/>
                <w:sz w:val="20"/>
                <w:szCs w:val="20"/>
                <w:lang w:val="fr-FR" w:eastAsia="fr-FR"/>
              </w:rPr>
              <w:t xml:space="preserve"> de piste et/ou voie de raccordement, soit 50% des pistes prévues pour toute la durée du Programme ;</w:t>
            </w:r>
          </w:p>
          <w:p w:rsidR="00481EF7" w:rsidRPr="00481EF7" w:rsidRDefault="00481EF7" w:rsidP="006247B1">
            <w:pPr>
              <w:numPr>
                <w:ilvl w:val="0"/>
                <w:numId w:val="9"/>
              </w:numPr>
              <w:autoSpaceDE w:val="0"/>
              <w:autoSpaceDN w:val="0"/>
              <w:adjustRightInd w:val="0"/>
              <w:ind w:left="567" w:hanging="567"/>
              <w:jc w:val="both"/>
              <w:rPr>
                <w:rFonts w:ascii="Century Gothic" w:hAnsi="Century Gothic"/>
                <w:sz w:val="20"/>
                <w:szCs w:val="20"/>
                <w:lang w:val="fr-FR" w:eastAsia="fr-FR"/>
              </w:rPr>
            </w:pPr>
            <w:r w:rsidRPr="00481EF7">
              <w:rPr>
                <w:rFonts w:ascii="Century Gothic" w:hAnsi="Century Gothic"/>
                <w:sz w:val="20"/>
                <w:szCs w:val="20"/>
                <w:lang w:val="fr-FR" w:eastAsia="fr-FR"/>
              </w:rPr>
              <w:t xml:space="preserve">Travaux réalisées </w:t>
            </w:r>
            <w:r>
              <w:rPr>
                <w:rFonts w:ascii="Century Gothic" w:hAnsi="Century Gothic"/>
                <w:sz w:val="20"/>
                <w:szCs w:val="20"/>
                <w:lang w:val="fr-FR" w:eastAsia="fr-FR"/>
              </w:rPr>
              <w:t>pour 5 sites d’adduction d’eau.</w:t>
            </w:r>
          </w:p>
          <w:p w:rsidR="00481EF7" w:rsidRPr="00481EF7" w:rsidRDefault="00481EF7" w:rsidP="00481EF7">
            <w:pPr>
              <w:autoSpaceDE w:val="0"/>
              <w:autoSpaceDN w:val="0"/>
              <w:adjustRightInd w:val="0"/>
              <w:jc w:val="both"/>
              <w:rPr>
                <w:rFonts w:ascii="Century Gothic" w:hAnsi="Century Gothic"/>
                <w:sz w:val="20"/>
                <w:szCs w:val="20"/>
                <w:lang w:val="fr-FR" w:eastAsia="fr-FR"/>
              </w:rPr>
            </w:pPr>
          </w:p>
          <w:p w:rsidR="00481EF7" w:rsidRPr="00481EF7" w:rsidRDefault="00481EF7" w:rsidP="00481EF7">
            <w:pPr>
              <w:autoSpaceDE w:val="0"/>
              <w:autoSpaceDN w:val="0"/>
              <w:adjustRightInd w:val="0"/>
              <w:jc w:val="both"/>
              <w:rPr>
                <w:rFonts w:ascii="Century Gothic" w:hAnsi="Century Gothic"/>
                <w:b/>
                <w:i/>
                <w:sz w:val="20"/>
                <w:szCs w:val="20"/>
                <w:lang w:val="fr-FR" w:eastAsia="fr-FR"/>
              </w:rPr>
            </w:pPr>
            <w:r w:rsidRPr="00481EF7">
              <w:rPr>
                <w:b/>
                <w:i/>
                <w:sz w:val="22"/>
                <w:szCs w:val="22"/>
                <w:u w:val="single"/>
                <w:lang w:val="fr-FR" w:eastAsia="fr-FR"/>
              </w:rPr>
              <w:t>Sous composante 42</w:t>
            </w:r>
            <w:r w:rsidRPr="00481EF7">
              <w:rPr>
                <w:b/>
                <w:i/>
                <w:sz w:val="22"/>
                <w:szCs w:val="22"/>
                <w:lang w:val="fr-FR" w:eastAsia="fr-FR"/>
              </w:rPr>
              <w:t xml:space="preserve">: </w:t>
            </w:r>
            <w:r w:rsidRPr="00FF08D3">
              <w:rPr>
                <w:b/>
                <w:i/>
                <w:sz w:val="22"/>
                <w:szCs w:val="22"/>
                <w:lang w:val="fr-FR"/>
              </w:rPr>
              <w:t>Investissements collectifs de soutien aux filières</w:t>
            </w:r>
          </w:p>
          <w:p w:rsidR="00481EF7" w:rsidRPr="00481EF7" w:rsidRDefault="00481EF7" w:rsidP="00481EF7">
            <w:pPr>
              <w:autoSpaceDE w:val="0"/>
              <w:autoSpaceDN w:val="0"/>
              <w:adjustRightInd w:val="0"/>
              <w:jc w:val="both"/>
              <w:rPr>
                <w:rFonts w:ascii="Century Gothic" w:hAnsi="Century Gothic"/>
                <w:sz w:val="20"/>
                <w:szCs w:val="20"/>
                <w:lang w:val="fr-FR" w:eastAsia="fr-FR"/>
              </w:rPr>
            </w:pPr>
            <w:r w:rsidRPr="00481EF7">
              <w:rPr>
                <w:rFonts w:ascii="Century Gothic" w:hAnsi="Century Gothic"/>
                <w:sz w:val="20"/>
                <w:szCs w:val="20"/>
                <w:lang w:val="fr-FR" w:eastAsia="fr-FR"/>
              </w:rPr>
              <w:t xml:space="preserve"> </w:t>
            </w:r>
          </w:p>
          <w:p w:rsidR="00481EF7" w:rsidRPr="00481EF7" w:rsidRDefault="00481EF7" w:rsidP="006247B1">
            <w:pPr>
              <w:numPr>
                <w:ilvl w:val="0"/>
                <w:numId w:val="9"/>
              </w:numPr>
              <w:autoSpaceDE w:val="0"/>
              <w:autoSpaceDN w:val="0"/>
              <w:adjustRightInd w:val="0"/>
              <w:ind w:left="567" w:hanging="567"/>
              <w:jc w:val="both"/>
              <w:rPr>
                <w:rFonts w:ascii="Century Gothic" w:hAnsi="Century Gothic"/>
                <w:sz w:val="20"/>
                <w:szCs w:val="20"/>
                <w:lang w:val="fr-FR" w:eastAsia="fr-FR"/>
              </w:rPr>
            </w:pPr>
            <w:r w:rsidRPr="00481EF7">
              <w:rPr>
                <w:rFonts w:ascii="Century Gothic" w:hAnsi="Century Gothic"/>
                <w:sz w:val="20"/>
                <w:szCs w:val="20"/>
                <w:lang w:val="fr-FR" w:eastAsia="fr-FR"/>
              </w:rPr>
              <w:t>5 points de vente/pavillons d’exposition mis en place et fonctionnels ;</w:t>
            </w:r>
          </w:p>
          <w:p w:rsidR="00481EF7" w:rsidRPr="00481EF7" w:rsidRDefault="00481EF7" w:rsidP="006247B1">
            <w:pPr>
              <w:numPr>
                <w:ilvl w:val="0"/>
                <w:numId w:val="9"/>
              </w:numPr>
              <w:autoSpaceDE w:val="0"/>
              <w:autoSpaceDN w:val="0"/>
              <w:adjustRightInd w:val="0"/>
              <w:ind w:left="567" w:hanging="567"/>
              <w:jc w:val="both"/>
              <w:rPr>
                <w:rFonts w:ascii="Century Gothic" w:hAnsi="Century Gothic"/>
                <w:sz w:val="20"/>
                <w:szCs w:val="20"/>
                <w:lang w:val="fr-FR" w:eastAsia="fr-FR"/>
              </w:rPr>
            </w:pPr>
            <w:r w:rsidRPr="00481EF7">
              <w:rPr>
                <w:rFonts w:ascii="Century Gothic" w:hAnsi="Century Gothic"/>
                <w:sz w:val="20"/>
                <w:szCs w:val="20"/>
                <w:lang w:val="fr-FR" w:eastAsia="fr-FR"/>
              </w:rPr>
              <w:t>10 Groupes électrogènes et 5 kits panneaux solaires fonctionnels ;</w:t>
            </w:r>
          </w:p>
          <w:p w:rsidR="00481EF7" w:rsidRPr="00481EF7" w:rsidRDefault="00481EF7" w:rsidP="006247B1">
            <w:pPr>
              <w:numPr>
                <w:ilvl w:val="0"/>
                <w:numId w:val="9"/>
              </w:numPr>
              <w:autoSpaceDE w:val="0"/>
              <w:autoSpaceDN w:val="0"/>
              <w:adjustRightInd w:val="0"/>
              <w:ind w:left="567" w:hanging="567"/>
              <w:jc w:val="both"/>
              <w:rPr>
                <w:rFonts w:ascii="Century Gothic" w:hAnsi="Century Gothic"/>
                <w:sz w:val="20"/>
                <w:szCs w:val="20"/>
                <w:lang w:val="fr-FR" w:eastAsia="fr-FR"/>
              </w:rPr>
            </w:pPr>
            <w:r w:rsidRPr="00481EF7">
              <w:rPr>
                <w:rFonts w:ascii="Century Gothic" w:hAnsi="Century Gothic"/>
                <w:sz w:val="20"/>
                <w:szCs w:val="20"/>
                <w:lang w:val="fr-FR" w:eastAsia="fr-FR"/>
              </w:rPr>
              <w:t>7 bâtiments pour atelier de transformation/ conditionnement/ stockage et salle d’exposition construits.</w:t>
            </w:r>
          </w:p>
          <w:p w:rsidR="00B02A59" w:rsidRPr="0031325D" w:rsidRDefault="00B02A59" w:rsidP="00B02A59">
            <w:pPr>
              <w:rPr>
                <w:sz w:val="22"/>
                <w:szCs w:val="22"/>
                <w:lang w:val="fr-FR" w:eastAsia="en-US"/>
              </w:rPr>
            </w:pPr>
          </w:p>
          <w:p w:rsidR="00F66C70" w:rsidRPr="00481EF7" w:rsidRDefault="00F66C70" w:rsidP="00F66C70">
            <w:pPr>
              <w:pStyle w:val="Titre2"/>
              <w:spacing w:before="0" w:after="0"/>
              <w:ind w:left="720" w:hanging="720"/>
              <w:jc w:val="both"/>
              <w:rPr>
                <w:rFonts w:ascii="Times New Roman" w:hAnsi="Times New Roman" w:cs="Times New Roman"/>
                <w:i w:val="0"/>
                <w:iCs w:val="0"/>
                <w:sz w:val="22"/>
                <w:szCs w:val="22"/>
              </w:rPr>
            </w:pPr>
            <w:r w:rsidRPr="00481EF7">
              <w:rPr>
                <w:rFonts w:ascii="Times New Roman" w:hAnsi="Times New Roman" w:cs="Times New Roman"/>
                <w:i w:val="0"/>
                <w:iCs w:val="0"/>
                <w:sz w:val="22"/>
                <w:szCs w:val="22"/>
              </w:rPr>
              <w:t>C</w:t>
            </w:r>
            <w:r w:rsidR="00481EF7" w:rsidRPr="00481EF7">
              <w:rPr>
                <w:rFonts w:ascii="Times New Roman" w:hAnsi="Times New Roman" w:cs="Times New Roman"/>
                <w:i w:val="0"/>
                <w:iCs w:val="0"/>
                <w:sz w:val="22"/>
                <w:szCs w:val="22"/>
              </w:rPr>
              <w:t>OMPOSANTE</w:t>
            </w:r>
            <w:r w:rsidRPr="00481EF7">
              <w:rPr>
                <w:rFonts w:ascii="Times New Roman" w:hAnsi="Times New Roman" w:cs="Times New Roman"/>
                <w:i w:val="0"/>
                <w:iCs w:val="0"/>
                <w:sz w:val="22"/>
                <w:szCs w:val="22"/>
              </w:rPr>
              <w:t xml:space="preserve"> 5 : SUIVI-EVALUATION, CAPITALISATION ET COMMUNICATION</w:t>
            </w:r>
          </w:p>
          <w:p w:rsidR="00F66C70" w:rsidRPr="0096735C" w:rsidRDefault="00F66C70" w:rsidP="00CD5D06">
            <w:pPr>
              <w:rPr>
                <w:sz w:val="22"/>
                <w:szCs w:val="22"/>
                <w:lang w:val="fr-FR" w:eastAsia="en-US"/>
              </w:rPr>
            </w:pPr>
          </w:p>
          <w:p w:rsidR="00481EF7" w:rsidRPr="00481EF7" w:rsidRDefault="00481EF7" w:rsidP="00481EF7">
            <w:pPr>
              <w:autoSpaceDE w:val="0"/>
              <w:autoSpaceDN w:val="0"/>
              <w:adjustRightInd w:val="0"/>
              <w:jc w:val="both"/>
              <w:rPr>
                <w:b/>
                <w:i/>
                <w:sz w:val="22"/>
                <w:szCs w:val="22"/>
                <w:lang w:val="fr-FR" w:eastAsia="fr-FR"/>
              </w:rPr>
            </w:pPr>
            <w:r w:rsidRPr="00481EF7">
              <w:rPr>
                <w:b/>
                <w:i/>
                <w:sz w:val="22"/>
                <w:szCs w:val="22"/>
                <w:u w:val="single"/>
                <w:lang w:val="fr-FR" w:eastAsia="fr-FR"/>
              </w:rPr>
              <w:t>Sous composante 51</w:t>
            </w:r>
            <w:r w:rsidRPr="00481EF7">
              <w:rPr>
                <w:b/>
                <w:i/>
                <w:sz w:val="22"/>
                <w:szCs w:val="22"/>
                <w:lang w:val="fr-FR" w:eastAsia="fr-FR"/>
              </w:rPr>
              <w:t xml:space="preserve">: </w:t>
            </w:r>
            <w:r w:rsidRPr="00481EF7">
              <w:rPr>
                <w:b/>
                <w:i/>
                <w:iCs/>
                <w:sz w:val="22"/>
                <w:szCs w:val="22"/>
                <w:lang w:val="fr-BE"/>
              </w:rPr>
              <w:t>Planification et Suivi-évaluation</w:t>
            </w:r>
          </w:p>
          <w:p w:rsidR="00481EF7" w:rsidRPr="00481EF7" w:rsidRDefault="00481EF7" w:rsidP="00481EF7">
            <w:pPr>
              <w:autoSpaceDE w:val="0"/>
              <w:autoSpaceDN w:val="0"/>
              <w:adjustRightInd w:val="0"/>
              <w:jc w:val="both"/>
              <w:rPr>
                <w:rFonts w:ascii="Century Gothic" w:hAnsi="Century Gothic"/>
                <w:sz w:val="20"/>
                <w:szCs w:val="20"/>
                <w:lang w:val="fr-FR" w:eastAsia="fr-FR"/>
              </w:rPr>
            </w:pPr>
          </w:p>
          <w:p w:rsidR="00481EF7" w:rsidRPr="00481EF7" w:rsidRDefault="00481EF7" w:rsidP="006247B1">
            <w:pPr>
              <w:numPr>
                <w:ilvl w:val="0"/>
                <w:numId w:val="9"/>
              </w:numPr>
              <w:autoSpaceDE w:val="0"/>
              <w:autoSpaceDN w:val="0"/>
              <w:adjustRightInd w:val="0"/>
              <w:ind w:left="567" w:hanging="567"/>
              <w:jc w:val="both"/>
              <w:rPr>
                <w:rFonts w:ascii="Century Gothic" w:hAnsi="Century Gothic"/>
                <w:sz w:val="20"/>
                <w:szCs w:val="20"/>
                <w:lang w:val="fr-FR" w:eastAsia="fr-FR"/>
              </w:rPr>
            </w:pPr>
            <w:r w:rsidRPr="00481EF7">
              <w:rPr>
                <w:rFonts w:ascii="Century Gothic" w:hAnsi="Century Gothic"/>
                <w:sz w:val="20"/>
                <w:szCs w:val="20"/>
                <w:lang w:val="fr-FR" w:eastAsia="fr-FR"/>
              </w:rPr>
              <w:t>La consolidation des activités du Programme ;</w:t>
            </w:r>
          </w:p>
          <w:p w:rsidR="00481EF7" w:rsidRPr="00481EF7" w:rsidRDefault="00481EF7" w:rsidP="006247B1">
            <w:pPr>
              <w:numPr>
                <w:ilvl w:val="0"/>
                <w:numId w:val="9"/>
              </w:numPr>
              <w:autoSpaceDE w:val="0"/>
              <w:autoSpaceDN w:val="0"/>
              <w:adjustRightInd w:val="0"/>
              <w:ind w:left="567" w:hanging="567"/>
              <w:jc w:val="both"/>
              <w:rPr>
                <w:rFonts w:ascii="Century Gothic" w:hAnsi="Century Gothic"/>
                <w:sz w:val="20"/>
                <w:szCs w:val="20"/>
                <w:lang w:val="fr-FR" w:eastAsia="fr-FR"/>
              </w:rPr>
            </w:pPr>
            <w:r w:rsidRPr="00481EF7">
              <w:rPr>
                <w:rFonts w:ascii="Century Gothic" w:hAnsi="Century Gothic"/>
                <w:sz w:val="20"/>
                <w:szCs w:val="20"/>
                <w:lang w:val="fr-FR" w:eastAsia="fr-FR"/>
              </w:rPr>
              <w:t xml:space="preserve">L’opérationnalisation du </w:t>
            </w:r>
            <w:r w:rsidR="00444FD6">
              <w:rPr>
                <w:rFonts w:ascii="Century Gothic" w:hAnsi="Century Gothic"/>
                <w:sz w:val="20"/>
                <w:szCs w:val="20"/>
                <w:lang w:val="fr-FR" w:eastAsia="fr-FR"/>
              </w:rPr>
              <w:t>système de suivi et évaluation.</w:t>
            </w:r>
          </w:p>
          <w:p w:rsidR="00481EF7" w:rsidRPr="00481EF7" w:rsidRDefault="00481EF7" w:rsidP="00481EF7">
            <w:pPr>
              <w:autoSpaceDE w:val="0"/>
              <w:autoSpaceDN w:val="0"/>
              <w:adjustRightInd w:val="0"/>
              <w:jc w:val="both"/>
              <w:rPr>
                <w:rFonts w:ascii="Century Gothic" w:hAnsi="Century Gothic"/>
                <w:sz w:val="20"/>
                <w:szCs w:val="20"/>
                <w:lang w:val="fr-FR" w:eastAsia="fr-FR"/>
              </w:rPr>
            </w:pPr>
          </w:p>
          <w:p w:rsidR="00481EF7" w:rsidRPr="00481EF7" w:rsidRDefault="00481EF7" w:rsidP="00481EF7">
            <w:pPr>
              <w:autoSpaceDE w:val="0"/>
              <w:autoSpaceDN w:val="0"/>
              <w:adjustRightInd w:val="0"/>
              <w:jc w:val="both"/>
              <w:rPr>
                <w:b/>
                <w:i/>
                <w:sz w:val="22"/>
                <w:szCs w:val="22"/>
                <w:lang w:val="fr-FR" w:eastAsia="fr-FR"/>
              </w:rPr>
            </w:pPr>
            <w:r w:rsidRPr="00481EF7">
              <w:rPr>
                <w:b/>
                <w:i/>
                <w:sz w:val="22"/>
                <w:szCs w:val="22"/>
                <w:u w:val="single"/>
                <w:lang w:val="fr-FR" w:eastAsia="fr-FR"/>
              </w:rPr>
              <w:t>Sous composante 52</w:t>
            </w:r>
            <w:r w:rsidRPr="00481EF7">
              <w:rPr>
                <w:b/>
                <w:i/>
                <w:sz w:val="22"/>
                <w:szCs w:val="22"/>
                <w:lang w:val="fr-FR" w:eastAsia="fr-FR"/>
              </w:rPr>
              <w:t xml:space="preserve">: </w:t>
            </w:r>
            <w:r w:rsidRPr="00481EF7">
              <w:rPr>
                <w:b/>
                <w:i/>
                <w:sz w:val="22"/>
                <w:szCs w:val="22"/>
                <w:lang w:val="fr-FR"/>
              </w:rPr>
              <w:t>Capitalisation de savoirs et communication</w:t>
            </w:r>
          </w:p>
          <w:p w:rsidR="00481EF7" w:rsidRPr="00481EF7" w:rsidRDefault="00481EF7" w:rsidP="00481EF7">
            <w:pPr>
              <w:autoSpaceDE w:val="0"/>
              <w:autoSpaceDN w:val="0"/>
              <w:adjustRightInd w:val="0"/>
              <w:jc w:val="both"/>
              <w:rPr>
                <w:rFonts w:ascii="Century Gothic" w:hAnsi="Century Gothic"/>
                <w:sz w:val="20"/>
                <w:szCs w:val="20"/>
                <w:lang w:val="fr-FR" w:eastAsia="fr-FR"/>
              </w:rPr>
            </w:pPr>
          </w:p>
          <w:p w:rsidR="00481EF7" w:rsidRPr="00481EF7" w:rsidRDefault="00481EF7" w:rsidP="006247B1">
            <w:pPr>
              <w:numPr>
                <w:ilvl w:val="0"/>
                <w:numId w:val="9"/>
              </w:numPr>
              <w:autoSpaceDE w:val="0"/>
              <w:autoSpaceDN w:val="0"/>
              <w:adjustRightInd w:val="0"/>
              <w:ind w:left="567" w:hanging="567"/>
              <w:jc w:val="both"/>
              <w:rPr>
                <w:rFonts w:ascii="Century Gothic" w:hAnsi="Century Gothic"/>
                <w:sz w:val="20"/>
                <w:szCs w:val="20"/>
                <w:lang w:val="fr-FR" w:eastAsia="fr-FR"/>
              </w:rPr>
            </w:pPr>
            <w:r w:rsidRPr="00481EF7">
              <w:rPr>
                <w:rFonts w:ascii="Century Gothic" w:hAnsi="Century Gothic"/>
                <w:sz w:val="20"/>
                <w:szCs w:val="20"/>
                <w:lang w:val="fr-FR" w:eastAsia="fr-FR"/>
              </w:rPr>
              <w:t>La promotion des outils et moyens de communication en milieu rural.</w:t>
            </w:r>
          </w:p>
          <w:p w:rsidR="00481EF7" w:rsidRPr="00481EF7" w:rsidRDefault="00481EF7" w:rsidP="00481EF7">
            <w:pPr>
              <w:tabs>
                <w:tab w:val="num" w:pos="709"/>
              </w:tabs>
              <w:rPr>
                <w:lang w:val="fr-FR"/>
              </w:rPr>
            </w:pPr>
          </w:p>
          <w:p w:rsidR="00E36C5E" w:rsidRPr="008459F4" w:rsidRDefault="00E36C5E" w:rsidP="00481EF7">
            <w:pPr>
              <w:ind w:left="1776"/>
              <w:jc w:val="both"/>
              <w:rPr>
                <w:sz w:val="22"/>
                <w:szCs w:val="22"/>
                <w:lang w:val="fr-FR"/>
              </w:rPr>
            </w:pPr>
            <w:r>
              <w:rPr>
                <w:sz w:val="22"/>
                <w:szCs w:val="22"/>
                <w:lang w:val="fr-FR"/>
              </w:rPr>
              <w:t xml:space="preserve">   </w:t>
            </w:r>
          </w:p>
        </w:tc>
      </w:tr>
      <w:tr w:rsidR="00CD7591" w:rsidRPr="00C25655">
        <w:tc>
          <w:tcPr>
            <w:tcW w:w="10368" w:type="dxa"/>
            <w:tcBorders>
              <w:top w:val="dotted" w:sz="4" w:space="0" w:color="auto"/>
              <w:left w:val="single" w:sz="12" w:space="0" w:color="auto"/>
              <w:bottom w:val="single" w:sz="12" w:space="0" w:color="auto"/>
              <w:right w:val="single" w:sz="12" w:space="0" w:color="auto"/>
            </w:tcBorders>
          </w:tcPr>
          <w:p w:rsidR="00CD7591" w:rsidRPr="00CC03D4" w:rsidRDefault="00CD7591" w:rsidP="00256758">
            <w:pPr>
              <w:jc w:val="both"/>
              <w:rPr>
                <w:b/>
                <w:bCs/>
                <w:iCs/>
                <w:sz w:val="22"/>
                <w:szCs w:val="22"/>
                <w:u w:val="single"/>
                <w:lang w:val="fr-FR"/>
              </w:rPr>
            </w:pPr>
          </w:p>
        </w:tc>
      </w:tr>
    </w:tbl>
    <w:p w:rsidR="005D181D" w:rsidRDefault="005D181D" w:rsidP="005D181D">
      <w:pPr>
        <w:jc w:val="both"/>
        <w:rPr>
          <w:rFonts w:ascii="Arial" w:hAnsi="Arial" w:cs="Arial"/>
          <w:bCs/>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368"/>
      </w:tblGrid>
      <w:tr w:rsidR="005D181D" w:rsidRPr="00C25655" w:rsidTr="00821D27">
        <w:trPr>
          <w:trHeight w:val="415"/>
        </w:trPr>
        <w:tc>
          <w:tcPr>
            <w:tcW w:w="10368" w:type="dxa"/>
            <w:tcBorders>
              <w:top w:val="single" w:sz="12" w:space="0" w:color="auto"/>
              <w:left w:val="single" w:sz="12" w:space="0" w:color="auto"/>
              <w:bottom w:val="dotted" w:sz="4" w:space="0" w:color="auto"/>
              <w:right w:val="single" w:sz="12" w:space="0" w:color="auto"/>
            </w:tcBorders>
            <w:shd w:val="clear" w:color="auto" w:fill="000000"/>
            <w:vAlign w:val="center"/>
          </w:tcPr>
          <w:p w:rsidR="005D181D" w:rsidRPr="0042574B" w:rsidRDefault="005D181D" w:rsidP="00390B6F">
            <w:pPr>
              <w:rPr>
                <w:rFonts w:ascii="Arial" w:hAnsi="Arial" w:cs="Arial"/>
                <w:b/>
                <w:sz w:val="22"/>
                <w:szCs w:val="22"/>
                <w:lang w:val="fr-FR"/>
              </w:rPr>
            </w:pPr>
            <w:r w:rsidRPr="0042574B">
              <w:rPr>
                <w:rFonts w:ascii="Arial" w:hAnsi="Arial" w:cs="Arial"/>
                <w:b/>
                <w:sz w:val="22"/>
                <w:szCs w:val="22"/>
                <w:lang w:val="fr-FR"/>
              </w:rPr>
              <w:t xml:space="preserve">Exécution </w:t>
            </w:r>
            <w:r w:rsidRPr="0042574B">
              <w:rPr>
                <w:rFonts w:ascii="Arial" w:hAnsi="Arial" w:cs="Arial"/>
                <w:b/>
                <w:sz w:val="22"/>
                <w:szCs w:val="22"/>
                <w:u w:val="single"/>
                <w:lang w:val="fr-FR"/>
              </w:rPr>
              <w:t>réalisée</w:t>
            </w:r>
            <w:r w:rsidRPr="0042574B">
              <w:rPr>
                <w:rFonts w:ascii="Arial" w:hAnsi="Arial" w:cs="Arial"/>
                <w:b/>
                <w:sz w:val="22"/>
                <w:szCs w:val="22"/>
                <w:lang w:val="fr-FR"/>
              </w:rPr>
              <w:t xml:space="preserve"> pendant le semestre écoulé</w:t>
            </w:r>
            <w:r w:rsidR="00B96D11">
              <w:rPr>
                <w:rFonts w:ascii="Arial" w:hAnsi="Arial" w:cs="Arial"/>
                <w:b/>
                <w:sz w:val="22"/>
                <w:szCs w:val="22"/>
                <w:lang w:val="fr-FR"/>
              </w:rPr>
              <w:t xml:space="preserve"> </w:t>
            </w:r>
          </w:p>
        </w:tc>
      </w:tr>
      <w:tr w:rsidR="005D181D" w:rsidRPr="0042574B" w:rsidTr="00821D27">
        <w:tc>
          <w:tcPr>
            <w:tcW w:w="10368" w:type="dxa"/>
            <w:tcBorders>
              <w:top w:val="dotted" w:sz="4" w:space="0" w:color="auto"/>
              <w:left w:val="single" w:sz="12" w:space="0" w:color="auto"/>
              <w:bottom w:val="dotted" w:sz="4" w:space="0" w:color="auto"/>
              <w:right w:val="single" w:sz="12" w:space="0" w:color="auto"/>
            </w:tcBorders>
          </w:tcPr>
          <w:p w:rsidR="000169D7" w:rsidRPr="000169D7" w:rsidRDefault="000169D7" w:rsidP="000169D7">
            <w:pPr>
              <w:jc w:val="both"/>
              <w:rPr>
                <w:rFonts w:eastAsia="Calibri"/>
                <w:b/>
                <w:sz w:val="22"/>
                <w:szCs w:val="22"/>
                <w:lang w:val="fr-FR"/>
              </w:rPr>
            </w:pPr>
            <w:r w:rsidRPr="000169D7">
              <w:rPr>
                <w:b/>
                <w:sz w:val="22"/>
                <w:szCs w:val="22"/>
                <w:lang w:val="fr-FR"/>
              </w:rPr>
              <w:t xml:space="preserve">COMPOSANTE  1 : </w:t>
            </w:r>
            <w:r w:rsidRPr="000169D7">
              <w:rPr>
                <w:rFonts w:eastAsia="Calibri"/>
                <w:b/>
                <w:sz w:val="22"/>
                <w:szCs w:val="22"/>
                <w:lang w:val="fr-FR"/>
              </w:rPr>
              <w:t>IDENTIFICATION ET MOBILISATION DES MER, DES PER ET STRUCTURATION DES INTERPROFESSIONS</w:t>
            </w:r>
          </w:p>
          <w:p w:rsidR="000169D7" w:rsidRPr="000169D7" w:rsidRDefault="000169D7" w:rsidP="000169D7">
            <w:pPr>
              <w:rPr>
                <w:rFonts w:ascii="Century Gothic" w:hAnsi="Century Gothic"/>
                <w:b/>
                <w:sz w:val="20"/>
                <w:szCs w:val="20"/>
                <w:u w:val="single"/>
                <w:lang w:val="fr-FR"/>
              </w:rPr>
            </w:pPr>
          </w:p>
          <w:p w:rsidR="000169D7" w:rsidRDefault="000169D7" w:rsidP="000169D7">
            <w:pPr>
              <w:rPr>
                <w:rFonts w:ascii="Century Gothic" w:hAnsi="Century Gothic"/>
                <w:b/>
                <w:sz w:val="20"/>
                <w:szCs w:val="20"/>
                <w:u w:val="single"/>
                <w:lang w:val="fr-FR"/>
              </w:rPr>
            </w:pPr>
            <w:r w:rsidRPr="000169D7">
              <w:rPr>
                <w:rFonts w:ascii="Century Gothic" w:hAnsi="Century Gothic"/>
                <w:b/>
                <w:sz w:val="20"/>
                <w:szCs w:val="20"/>
                <w:u w:val="single"/>
                <w:lang w:val="fr-FR"/>
              </w:rPr>
              <w:t xml:space="preserve">En termes  d’activités </w:t>
            </w:r>
          </w:p>
          <w:p w:rsidR="000169D7" w:rsidRPr="000169D7" w:rsidRDefault="000169D7" w:rsidP="000169D7">
            <w:pPr>
              <w:rPr>
                <w:rFonts w:ascii="Century Gothic" w:hAnsi="Century Gothic"/>
                <w:sz w:val="20"/>
                <w:szCs w:val="20"/>
                <w:lang w:val="fr-FR"/>
              </w:rPr>
            </w:pPr>
          </w:p>
          <w:p w:rsidR="000169D7" w:rsidRPr="000169D7" w:rsidRDefault="000169D7" w:rsidP="000169D7">
            <w:pPr>
              <w:jc w:val="both"/>
              <w:rPr>
                <w:rFonts w:ascii="Century Gothic" w:hAnsi="Century Gothic"/>
                <w:sz w:val="20"/>
                <w:szCs w:val="20"/>
                <w:lang w:val="fr-FR"/>
              </w:rPr>
            </w:pPr>
            <w:r w:rsidRPr="000169D7">
              <w:rPr>
                <w:rFonts w:ascii="Century Gothic" w:hAnsi="Century Gothic"/>
                <w:sz w:val="20"/>
                <w:szCs w:val="20"/>
                <w:lang w:val="fr-FR"/>
              </w:rPr>
              <w:t>Au plan de réalisations physiques, le taux de réalisation</w:t>
            </w:r>
            <w:r w:rsidR="006E43A2">
              <w:rPr>
                <w:rFonts w:ascii="Century Gothic" w:hAnsi="Century Gothic"/>
                <w:sz w:val="20"/>
                <w:szCs w:val="20"/>
                <w:lang w:val="fr-FR"/>
              </w:rPr>
              <w:t xml:space="preserve"> de la composante </w:t>
            </w:r>
            <w:r w:rsidRPr="000169D7">
              <w:rPr>
                <w:rFonts w:ascii="Century Gothic" w:hAnsi="Century Gothic"/>
                <w:sz w:val="20"/>
                <w:szCs w:val="20"/>
                <w:lang w:val="fr-FR"/>
              </w:rPr>
              <w:t>se chi</w:t>
            </w:r>
            <w:r w:rsidR="006E43A2">
              <w:rPr>
                <w:rFonts w:ascii="Century Gothic" w:hAnsi="Century Gothic"/>
                <w:sz w:val="20"/>
                <w:szCs w:val="20"/>
                <w:lang w:val="fr-FR"/>
              </w:rPr>
              <w:t>ffre à</w:t>
            </w:r>
            <w:r w:rsidRPr="000169D7">
              <w:rPr>
                <w:rFonts w:ascii="Century Gothic" w:hAnsi="Century Gothic"/>
                <w:sz w:val="20"/>
                <w:szCs w:val="20"/>
                <w:lang w:val="fr-FR"/>
              </w:rPr>
              <w:t xml:space="preserve"> </w:t>
            </w:r>
            <w:r w:rsidRPr="006E43A2">
              <w:rPr>
                <w:rFonts w:ascii="Century Gothic" w:hAnsi="Century Gothic"/>
                <w:sz w:val="20"/>
                <w:szCs w:val="20"/>
                <w:lang w:val="fr-FR"/>
              </w:rPr>
              <w:t>8</w:t>
            </w:r>
            <w:r w:rsidR="006E43A2" w:rsidRPr="006E43A2">
              <w:rPr>
                <w:rFonts w:ascii="Century Gothic" w:hAnsi="Century Gothic"/>
                <w:sz w:val="20"/>
                <w:szCs w:val="20"/>
                <w:lang w:val="fr-FR"/>
              </w:rPr>
              <w:t>9,23</w:t>
            </w:r>
            <w:r w:rsidRPr="006E43A2">
              <w:rPr>
                <w:rFonts w:ascii="Century Gothic" w:hAnsi="Century Gothic"/>
                <w:sz w:val="20"/>
                <w:szCs w:val="20"/>
                <w:lang w:val="fr-FR"/>
              </w:rPr>
              <w:t>%</w:t>
            </w:r>
            <w:r w:rsidRPr="000169D7">
              <w:rPr>
                <w:rFonts w:ascii="Century Gothic" w:hAnsi="Century Gothic"/>
                <w:sz w:val="20"/>
                <w:szCs w:val="20"/>
                <w:lang w:val="fr-FR"/>
              </w:rPr>
              <w:t>. Au vu ce taux élevé, on peut en déduire que le programme a concentré beaucoup plus ses efforts à la réalisation des activités liées à la composante 1 puisqu’ elle conditionne la mise en exécution des autres composantes</w:t>
            </w:r>
            <w:r w:rsidRPr="000169D7">
              <w:rPr>
                <w:rFonts w:ascii="Century Gothic" w:hAnsi="Century Gothic"/>
                <w:sz w:val="20"/>
                <w:szCs w:val="20"/>
                <w:lang w:val="fr-FR" w:eastAsia="fr-FR"/>
              </w:rPr>
              <w:t>.</w:t>
            </w:r>
            <w:r w:rsidRPr="000169D7">
              <w:rPr>
                <w:lang w:val="fr-FR"/>
              </w:rPr>
              <w:t xml:space="preserve"> </w:t>
            </w:r>
            <w:r w:rsidRPr="000169D7">
              <w:rPr>
                <w:rFonts w:ascii="Century Gothic" w:hAnsi="Century Gothic"/>
                <w:sz w:val="20"/>
                <w:szCs w:val="20"/>
                <w:lang w:val="fr-FR"/>
              </w:rPr>
              <w:t xml:space="preserve">Mais par rapport au calendrier initial, la </w:t>
            </w:r>
            <w:r w:rsidR="00A1346D">
              <w:rPr>
                <w:rFonts w:ascii="Century Gothic" w:hAnsi="Century Gothic"/>
                <w:sz w:val="20"/>
                <w:szCs w:val="20"/>
                <w:lang w:val="fr-FR"/>
              </w:rPr>
              <w:t xml:space="preserve">mise en œuvre </w:t>
            </w:r>
            <w:r w:rsidRPr="000169D7">
              <w:rPr>
                <w:rFonts w:ascii="Century Gothic" w:hAnsi="Century Gothic"/>
                <w:sz w:val="20"/>
                <w:szCs w:val="20"/>
                <w:lang w:val="fr-FR"/>
              </w:rPr>
              <w:t xml:space="preserve">de la composante a connu des retards accumulés au début de l’année suite à la crise politique.  </w:t>
            </w:r>
          </w:p>
          <w:p w:rsidR="000169D7" w:rsidRPr="000169D7" w:rsidRDefault="000169D7" w:rsidP="000169D7">
            <w:pPr>
              <w:widowControl w:val="0"/>
              <w:adjustRightInd w:val="0"/>
              <w:jc w:val="both"/>
              <w:textAlignment w:val="baseline"/>
              <w:rPr>
                <w:rFonts w:ascii="Century Gothic" w:hAnsi="Century Gothic"/>
                <w:sz w:val="20"/>
                <w:szCs w:val="20"/>
                <w:lang w:val="fr-FR"/>
              </w:rPr>
            </w:pPr>
          </w:p>
          <w:p w:rsidR="000169D7" w:rsidRPr="000169D7" w:rsidRDefault="000169D7" w:rsidP="000169D7">
            <w:pPr>
              <w:widowControl w:val="0"/>
              <w:adjustRightInd w:val="0"/>
              <w:jc w:val="both"/>
              <w:textAlignment w:val="baseline"/>
              <w:rPr>
                <w:rFonts w:ascii="Century Gothic" w:hAnsi="Century Gothic"/>
                <w:iCs/>
                <w:sz w:val="20"/>
                <w:szCs w:val="20"/>
                <w:lang w:val="fr-FR"/>
              </w:rPr>
            </w:pPr>
            <w:r w:rsidRPr="000169D7">
              <w:rPr>
                <w:rFonts w:ascii="Century Gothic" w:hAnsi="Century Gothic"/>
                <w:sz w:val="20"/>
                <w:szCs w:val="20"/>
                <w:lang w:val="fr-FR"/>
              </w:rPr>
              <w:t xml:space="preserve">Sous composante 11 : </w:t>
            </w:r>
            <w:r w:rsidRPr="000169D7">
              <w:rPr>
                <w:rFonts w:ascii="Century Gothic" w:hAnsi="Century Gothic"/>
                <w:iCs/>
                <w:sz w:val="20"/>
                <w:szCs w:val="20"/>
                <w:lang w:val="fr-FR"/>
              </w:rPr>
              <w:t>INVENTAIRE REGIONAL, VALIDATION DES MER, DES PER ET DISPOSITIF D’APPUI LOCAL</w:t>
            </w:r>
          </w:p>
          <w:p w:rsidR="000169D7" w:rsidRPr="000169D7" w:rsidRDefault="000169D7" w:rsidP="000169D7">
            <w:pPr>
              <w:widowControl w:val="0"/>
              <w:adjustRightInd w:val="0"/>
              <w:jc w:val="both"/>
              <w:textAlignment w:val="baseline"/>
              <w:rPr>
                <w:rFonts w:ascii="Century Gothic" w:hAnsi="Century Gothic"/>
                <w:iCs/>
                <w:sz w:val="20"/>
                <w:szCs w:val="20"/>
                <w:lang w:val="fr-FR"/>
              </w:rPr>
            </w:pPr>
          </w:p>
          <w:p w:rsidR="000169D7" w:rsidRPr="00952681" w:rsidRDefault="000169D7" w:rsidP="006247B1">
            <w:pPr>
              <w:pStyle w:val="Paragraphedeliste"/>
              <w:numPr>
                <w:ilvl w:val="0"/>
                <w:numId w:val="10"/>
              </w:numPr>
              <w:spacing w:after="0" w:line="240" w:lineRule="auto"/>
              <w:ind w:left="426"/>
              <w:jc w:val="both"/>
              <w:rPr>
                <w:rFonts w:ascii="Century Gothic" w:hAnsi="Century Gothic"/>
                <w:sz w:val="20"/>
                <w:szCs w:val="20"/>
              </w:rPr>
            </w:pPr>
            <w:r w:rsidRPr="006E43A2">
              <w:rPr>
                <w:rFonts w:ascii="Century Gothic" w:hAnsi="Century Gothic"/>
                <w:sz w:val="20"/>
                <w:szCs w:val="20"/>
              </w:rPr>
              <w:t>15</w:t>
            </w:r>
            <w:r w:rsidRPr="00952681">
              <w:rPr>
                <w:rFonts w:ascii="Century Gothic" w:hAnsi="Century Gothic"/>
                <w:sz w:val="20"/>
                <w:szCs w:val="20"/>
              </w:rPr>
              <w:t xml:space="preserve"> Plans  de développement des filières sont élaborés à raison de 3 filières par région. Ces plans serviront évidemment de bonne base pour développer les filières prioritaires afin de créer des pôles de croissance. Pour l’instant ces plans ne peuvent pas être considérés comme  des documents engageant l’ensemble des parties prenantes concernées que s’ils ne seront pas traduits en malgache et distribués aux acteurs concernés mais aussi que si les plateformes de concertation et d’appui aux filières (PCAF) qui devraient porter leur élaboration puis leur mise en œuvre ne sont encore en place ou sont émergentes. </w:t>
            </w:r>
          </w:p>
          <w:p w:rsidR="000169D7" w:rsidRPr="00952681" w:rsidRDefault="000169D7" w:rsidP="000169D7">
            <w:pPr>
              <w:pStyle w:val="Paragraphedeliste"/>
              <w:spacing w:after="0" w:line="240" w:lineRule="auto"/>
              <w:ind w:left="426"/>
              <w:jc w:val="both"/>
              <w:rPr>
                <w:rFonts w:ascii="Century Gothic" w:hAnsi="Century Gothic"/>
                <w:sz w:val="20"/>
                <w:szCs w:val="20"/>
              </w:rPr>
            </w:pPr>
          </w:p>
          <w:p w:rsidR="000169D7" w:rsidRDefault="000169D7" w:rsidP="006247B1">
            <w:pPr>
              <w:pStyle w:val="Paragraphedeliste"/>
              <w:numPr>
                <w:ilvl w:val="0"/>
                <w:numId w:val="10"/>
              </w:numPr>
              <w:spacing w:after="0" w:line="240" w:lineRule="auto"/>
              <w:ind w:left="425" w:hanging="357"/>
              <w:jc w:val="both"/>
              <w:rPr>
                <w:rFonts w:ascii="Century Gothic" w:hAnsi="Century Gothic"/>
                <w:sz w:val="20"/>
                <w:szCs w:val="20"/>
              </w:rPr>
            </w:pPr>
            <w:r w:rsidRPr="006E43A2">
              <w:rPr>
                <w:rFonts w:ascii="Century Gothic" w:hAnsi="Century Gothic"/>
                <w:sz w:val="20"/>
                <w:szCs w:val="20"/>
              </w:rPr>
              <w:t>18</w:t>
            </w:r>
            <w:r w:rsidRPr="00952681">
              <w:rPr>
                <w:rFonts w:ascii="Century Gothic" w:hAnsi="Century Gothic"/>
                <w:sz w:val="20"/>
                <w:szCs w:val="20"/>
              </w:rPr>
              <w:t xml:space="preserve"> IVO  FANOITRA/GUMS sont mis en place. Il ne reste plus qu’à mettre en place un IF dans le district d’Arivonimamo. Les 38 CE  ont été recrutés, formées  et ont pris leurs fonctions en janvier 2009. </w:t>
            </w:r>
          </w:p>
          <w:p w:rsidR="0071088A" w:rsidRDefault="0071088A" w:rsidP="0071088A">
            <w:pPr>
              <w:pStyle w:val="Paragraphedeliste"/>
              <w:rPr>
                <w:rFonts w:ascii="Century Gothic" w:hAnsi="Century Gothic"/>
                <w:sz w:val="20"/>
                <w:szCs w:val="20"/>
              </w:rPr>
            </w:pP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2275"/>
              <w:gridCol w:w="2275"/>
              <w:gridCol w:w="2276"/>
            </w:tblGrid>
            <w:tr w:rsidR="0071088A" w:rsidRPr="006247B1" w:rsidTr="006247B1">
              <w:trPr>
                <w:trHeight w:val="261"/>
              </w:trPr>
              <w:tc>
                <w:tcPr>
                  <w:tcW w:w="2405" w:type="dxa"/>
                  <w:shd w:val="clear" w:color="auto" w:fill="F79646"/>
                </w:tcPr>
                <w:p w:rsidR="0071088A" w:rsidRPr="006247B1" w:rsidRDefault="0071088A" w:rsidP="006247B1">
                  <w:pPr>
                    <w:pStyle w:val="Paragraphedeliste"/>
                    <w:spacing w:after="0" w:line="240" w:lineRule="auto"/>
                    <w:ind w:left="0"/>
                    <w:jc w:val="center"/>
                    <w:rPr>
                      <w:rFonts w:ascii="Century Gothic" w:hAnsi="Century Gothic"/>
                      <w:b/>
                      <w:sz w:val="20"/>
                      <w:szCs w:val="20"/>
                    </w:rPr>
                  </w:pPr>
                </w:p>
              </w:tc>
              <w:tc>
                <w:tcPr>
                  <w:tcW w:w="2275" w:type="dxa"/>
                  <w:shd w:val="clear" w:color="auto" w:fill="F79646"/>
                </w:tcPr>
                <w:p w:rsidR="0071088A" w:rsidRPr="006247B1" w:rsidRDefault="0071088A" w:rsidP="006247B1">
                  <w:pPr>
                    <w:pStyle w:val="Paragraphedeliste"/>
                    <w:spacing w:after="0" w:line="240" w:lineRule="auto"/>
                    <w:ind w:left="0"/>
                    <w:jc w:val="center"/>
                    <w:rPr>
                      <w:rFonts w:ascii="Century Gothic" w:hAnsi="Century Gothic"/>
                      <w:b/>
                      <w:sz w:val="20"/>
                      <w:szCs w:val="20"/>
                    </w:rPr>
                  </w:pPr>
                  <w:r w:rsidRPr="006247B1">
                    <w:rPr>
                      <w:rFonts w:ascii="Century Gothic" w:hAnsi="Century Gothic"/>
                      <w:b/>
                      <w:sz w:val="20"/>
                      <w:szCs w:val="20"/>
                    </w:rPr>
                    <w:t>SEMESTRE 1</w:t>
                  </w:r>
                </w:p>
              </w:tc>
              <w:tc>
                <w:tcPr>
                  <w:tcW w:w="2275" w:type="dxa"/>
                  <w:shd w:val="clear" w:color="auto" w:fill="F79646"/>
                </w:tcPr>
                <w:p w:rsidR="0071088A" w:rsidRPr="006247B1" w:rsidRDefault="0071088A" w:rsidP="006247B1">
                  <w:pPr>
                    <w:pStyle w:val="Paragraphedeliste"/>
                    <w:spacing w:after="0" w:line="240" w:lineRule="auto"/>
                    <w:ind w:left="0"/>
                    <w:jc w:val="center"/>
                    <w:rPr>
                      <w:rFonts w:ascii="Century Gothic" w:hAnsi="Century Gothic"/>
                      <w:b/>
                      <w:sz w:val="20"/>
                      <w:szCs w:val="20"/>
                    </w:rPr>
                  </w:pPr>
                  <w:r w:rsidRPr="006247B1">
                    <w:rPr>
                      <w:rFonts w:ascii="Century Gothic" w:hAnsi="Century Gothic"/>
                      <w:b/>
                      <w:sz w:val="20"/>
                      <w:szCs w:val="20"/>
                    </w:rPr>
                    <w:t>SEMESTRE 2</w:t>
                  </w:r>
                </w:p>
              </w:tc>
              <w:tc>
                <w:tcPr>
                  <w:tcW w:w="2276" w:type="dxa"/>
                  <w:shd w:val="clear" w:color="auto" w:fill="F79646"/>
                </w:tcPr>
                <w:p w:rsidR="0071088A" w:rsidRPr="006247B1" w:rsidRDefault="0071088A" w:rsidP="006247B1">
                  <w:pPr>
                    <w:pStyle w:val="Paragraphedeliste"/>
                    <w:spacing w:after="0" w:line="240" w:lineRule="auto"/>
                    <w:ind w:left="0"/>
                    <w:jc w:val="center"/>
                    <w:rPr>
                      <w:rFonts w:ascii="Century Gothic" w:hAnsi="Century Gothic"/>
                      <w:b/>
                      <w:sz w:val="20"/>
                      <w:szCs w:val="20"/>
                    </w:rPr>
                  </w:pPr>
                  <w:r w:rsidRPr="006247B1">
                    <w:rPr>
                      <w:rFonts w:ascii="Century Gothic" w:hAnsi="Century Gothic"/>
                      <w:b/>
                      <w:sz w:val="20"/>
                      <w:szCs w:val="20"/>
                    </w:rPr>
                    <w:t>TOTAL</w:t>
                  </w:r>
                </w:p>
              </w:tc>
            </w:tr>
            <w:tr w:rsidR="0071088A" w:rsidRPr="006247B1" w:rsidTr="006247B1">
              <w:trPr>
                <w:trHeight w:val="261"/>
              </w:trPr>
              <w:tc>
                <w:tcPr>
                  <w:tcW w:w="2405" w:type="dxa"/>
                </w:tcPr>
                <w:p w:rsidR="0071088A" w:rsidRPr="006247B1" w:rsidRDefault="0071088A" w:rsidP="006247B1">
                  <w:pPr>
                    <w:pStyle w:val="Paragraphedeliste"/>
                    <w:spacing w:after="0" w:line="240" w:lineRule="auto"/>
                    <w:ind w:left="0"/>
                    <w:jc w:val="both"/>
                    <w:rPr>
                      <w:rFonts w:ascii="Century Gothic" w:hAnsi="Century Gothic"/>
                      <w:sz w:val="20"/>
                      <w:szCs w:val="20"/>
                    </w:rPr>
                  </w:pPr>
                  <w:r w:rsidRPr="006247B1">
                    <w:rPr>
                      <w:rFonts w:ascii="Century Gothic" w:hAnsi="Century Gothic"/>
                      <w:sz w:val="20"/>
                      <w:szCs w:val="20"/>
                    </w:rPr>
                    <w:t>IF/GUMS mis en place</w:t>
                  </w:r>
                </w:p>
              </w:tc>
              <w:tc>
                <w:tcPr>
                  <w:tcW w:w="2275" w:type="dxa"/>
                </w:tcPr>
                <w:p w:rsidR="0071088A" w:rsidRPr="006247B1" w:rsidRDefault="0071088A" w:rsidP="006247B1">
                  <w:pPr>
                    <w:pStyle w:val="Paragraphedeliste"/>
                    <w:spacing w:after="0" w:line="240" w:lineRule="auto"/>
                    <w:ind w:left="0"/>
                    <w:jc w:val="center"/>
                    <w:rPr>
                      <w:rFonts w:ascii="Century Gothic" w:hAnsi="Century Gothic"/>
                      <w:sz w:val="20"/>
                      <w:szCs w:val="20"/>
                    </w:rPr>
                  </w:pPr>
                  <w:r w:rsidRPr="006247B1">
                    <w:rPr>
                      <w:rFonts w:ascii="Century Gothic" w:hAnsi="Century Gothic"/>
                      <w:sz w:val="20"/>
                      <w:szCs w:val="20"/>
                    </w:rPr>
                    <w:t>09</w:t>
                  </w:r>
                </w:p>
              </w:tc>
              <w:tc>
                <w:tcPr>
                  <w:tcW w:w="2275" w:type="dxa"/>
                </w:tcPr>
                <w:p w:rsidR="0071088A" w:rsidRPr="006247B1" w:rsidRDefault="0071088A" w:rsidP="006247B1">
                  <w:pPr>
                    <w:pStyle w:val="Paragraphedeliste"/>
                    <w:spacing w:after="0" w:line="240" w:lineRule="auto"/>
                    <w:ind w:left="0"/>
                    <w:jc w:val="center"/>
                    <w:rPr>
                      <w:rFonts w:ascii="Century Gothic" w:hAnsi="Century Gothic"/>
                      <w:sz w:val="20"/>
                      <w:szCs w:val="20"/>
                    </w:rPr>
                  </w:pPr>
                  <w:r w:rsidRPr="006247B1">
                    <w:rPr>
                      <w:rFonts w:ascii="Century Gothic" w:hAnsi="Century Gothic"/>
                      <w:sz w:val="20"/>
                      <w:szCs w:val="20"/>
                    </w:rPr>
                    <w:t>09</w:t>
                  </w:r>
                </w:p>
              </w:tc>
              <w:tc>
                <w:tcPr>
                  <w:tcW w:w="2276" w:type="dxa"/>
                </w:tcPr>
                <w:p w:rsidR="0071088A" w:rsidRPr="006247B1" w:rsidRDefault="0071088A" w:rsidP="006247B1">
                  <w:pPr>
                    <w:pStyle w:val="Paragraphedeliste"/>
                    <w:spacing w:after="0" w:line="240" w:lineRule="auto"/>
                    <w:ind w:left="0"/>
                    <w:jc w:val="center"/>
                    <w:rPr>
                      <w:rFonts w:ascii="Century Gothic" w:hAnsi="Century Gothic"/>
                      <w:sz w:val="20"/>
                      <w:szCs w:val="20"/>
                    </w:rPr>
                  </w:pPr>
                  <w:r w:rsidRPr="006247B1">
                    <w:rPr>
                      <w:rFonts w:ascii="Century Gothic" w:hAnsi="Century Gothic"/>
                      <w:sz w:val="20"/>
                      <w:szCs w:val="20"/>
                    </w:rPr>
                    <w:t>18</w:t>
                  </w:r>
                </w:p>
              </w:tc>
            </w:tr>
          </w:tbl>
          <w:p w:rsidR="0071088A" w:rsidRPr="00952681" w:rsidRDefault="0071088A" w:rsidP="0071088A">
            <w:pPr>
              <w:pStyle w:val="Paragraphedeliste"/>
              <w:spacing w:after="0" w:line="240" w:lineRule="auto"/>
              <w:ind w:left="425"/>
              <w:jc w:val="both"/>
              <w:rPr>
                <w:rFonts w:ascii="Century Gothic" w:hAnsi="Century Gothic"/>
                <w:sz w:val="20"/>
                <w:szCs w:val="20"/>
              </w:rPr>
            </w:pPr>
          </w:p>
          <w:p w:rsidR="000169D7" w:rsidRPr="00952681" w:rsidRDefault="000169D7" w:rsidP="000169D7">
            <w:pPr>
              <w:pStyle w:val="Paragraphedeliste"/>
              <w:spacing w:after="0" w:line="240" w:lineRule="auto"/>
              <w:ind w:left="0"/>
              <w:jc w:val="both"/>
              <w:rPr>
                <w:rFonts w:ascii="Century Gothic" w:hAnsi="Century Gothic"/>
                <w:sz w:val="20"/>
                <w:szCs w:val="20"/>
              </w:rPr>
            </w:pPr>
          </w:p>
          <w:p w:rsidR="000169D7" w:rsidRDefault="006E43A2" w:rsidP="006247B1">
            <w:pPr>
              <w:pStyle w:val="Paragraphedeliste"/>
              <w:numPr>
                <w:ilvl w:val="0"/>
                <w:numId w:val="10"/>
              </w:numPr>
              <w:spacing w:after="0" w:line="240" w:lineRule="auto"/>
              <w:ind w:left="425" w:hanging="357"/>
              <w:jc w:val="both"/>
              <w:rPr>
                <w:rFonts w:ascii="Century Gothic" w:hAnsi="Century Gothic"/>
                <w:sz w:val="20"/>
                <w:szCs w:val="20"/>
              </w:rPr>
            </w:pPr>
            <w:r w:rsidRPr="006E43A2">
              <w:rPr>
                <w:rFonts w:ascii="Century Gothic" w:hAnsi="Century Gothic"/>
                <w:sz w:val="20"/>
                <w:szCs w:val="20"/>
              </w:rPr>
              <w:t>33 039</w:t>
            </w:r>
            <w:r w:rsidR="000169D7" w:rsidRPr="00952681">
              <w:rPr>
                <w:rFonts w:ascii="Century Gothic" w:hAnsi="Century Gothic"/>
                <w:sz w:val="20"/>
                <w:szCs w:val="20"/>
              </w:rPr>
              <w:t xml:space="preserve"> MER sont inventoriées au cours de l’année 2009 et  parmi eux, </w:t>
            </w:r>
            <w:r w:rsidR="000169D7" w:rsidRPr="006E43A2">
              <w:rPr>
                <w:rFonts w:ascii="Century Gothic" w:hAnsi="Century Gothic"/>
                <w:sz w:val="20"/>
                <w:szCs w:val="20"/>
              </w:rPr>
              <w:t>1</w:t>
            </w:r>
            <w:r w:rsidRPr="006E43A2">
              <w:rPr>
                <w:rFonts w:ascii="Century Gothic" w:hAnsi="Century Gothic"/>
                <w:sz w:val="20"/>
                <w:szCs w:val="20"/>
              </w:rPr>
              <w:t>4 419</w:t>
            </w:r>
            <w:r w:rsidR="000169D7" w:rsidRPr="00952681">
              <w:rPr>
                <w:rFonts w:ascii="Century Gothic" w:hAnsi="Century Gothic"/>
                <w:sz w:val="20"/>
                <w:szCs w:val="20"/>
              </w:rPr>
              <w:t xml:space="preserve"> MER sont validées. Au cours de l’année 2009, les efforts des CE sont focalisés sur les activités d’identification, de validation et d’organisation des formations à dispenser aux MER/PER au détriment de l’appui/accompagnement qui constitue pourtant la mission première du CE. Ceci est assez normal dans cette phase de lancement qui a pris fin cette 2009. Il fallait tout d’abord avoir une bonne connaissance des MER existantes avant de leur fournir les appuis conseils requis. Mais, cette tendance devra cependant être inversée à partir de l’année 2010. </w:t>
            </w:r>
          </w:p>
          <w:p w:rsidR="0071088A" w:rsidRDefault="0071088A" w:rsidP="0071088A">
            <w:pPr>
              <w:pStyle w:val="Paragraphedeliste"/>
              <w:spacing w:after="0" w:line="240" w:lineRule="auto"/>
              <w:ind w:left="425"/>
              <w:jc w:val="both"/>
              <w:rPr>
                <w:rFonts w:ascii="Century Gothic" w:hAnsi="Century Gothic"/>
                <w:sz w:val="20"/>
                <w:szCs w:val="20"/>
              </w:rPr>
            </w:pP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56"/>
              <w:gridCol w:w="2356"/>
              <w:gridCol w:w="2356"/>
              <w:gridCol w:w="2356"/>
            </w:tblGrid>
            <w:tr w:rsidR="0071088A" w:rsidRPr="006247B1" w:rsidTr="006247B1">
              <w:trPr>
                <w:trHeight w:val="287"/>
              </w:trPr>
              <w:tc>
                <w:tcPr>
                  <w:tcW w:w="2356" w:type="dxa"/>
                  <w:shd w:val="clear" w:color="auto" w:fill="F79646"/>
                  <w:vAlign w:val="center"/>
                </w:tcPr>
                <w:p w:rsidR="0071088A" w:rsidRPr="006247B1" w:rsidRDefault="0071088A" w:rsidP="006247B1">
                  <w:pPr>
                    <w:pStyle w:val="Paragraphedeliste"/>
                    <w:spacing w:after="0" w:line="240" w:lineRule="auto"/>
                    <w:ind w:left="0"/>
                    <w:jc w:val="center"/>
                    <w:rPr>
                      <w:rFonts w:ascii="Century Gothic" w:hAnsi="Century Gothic"/>
                      <w:sz w:val="20"/>
                      <w:szCs w:val="20"/>
                    </w:rPr>
                  </w:pPr>
                </w:p>
              </w:tc>
              <w:tc>
                <w:tcPr>
                  <w:tcW w:w="2356" w:type="dxa"/>
                  <w:shd w:val="clear" w:color="auto" w:fill="F79646"/>
                  <w:vAlign w:val="center"/>
                </w:tcPr>
                <w:p w:rsidR="0071088A" w:rsidRPr="006247B1" w:rsidRDefault="0071088A" w:rsidP="006247B1">
                  <w:pPr>
                    <w:pStyle w:val="Paragraphedeliste"/>
                    <w:spacing w:after="0" w:line="240" w:lineRule="auto"/>
                    <w:ind w:left="0"/>
                    <w:jc w:val="center"/>
                    <w:rPr>
                      <w:rFonts w:ascii="Century Gothic" w:hAnsi="Century Gothic"/>
                      <w:b/>
                      <w:sz w:val="20"/>
                      <w:szCs w:val="20"/>
                    </w:rPr>
                  </w:pPr>
                  <w:r w:rsidRPr="006247B1">
                    <w:rPr>
                      <w:rFonts w:ascii="Century Gothic" w:hAnsi="Century Gothic"/>
                      <w:b/>
                      <w:sz w:val="20"/>
                      <w:szCs w:val="20"/>
                    </w:rPr>
                    <w:t>SEMESTRE 1</w:t>
                  </w:r>
                </w:p>
              </w:tc>
              <w:tc>
                <w:tcPr>
                  <w:tcW w:w="2356" w:type="dxa"/>
                  <w:shd w:val="clear" w:color="auto" w:fill="F79646"/>
                  <w:vAlign w:val="center"/>
                </w:tcPr>
                <w:p w:rsidR="0071088A" w:rsidRPr="006247B1" w:rsidRDefault="0071088A" w:rsidP="006247B1">
                  <w:pPr>
                    <w:pStyle w:val="Paragraphedeliste"/>
                    <w:spacing w:after="0" w:line="240" w:lineRule="auto"/>
                    <w:ind w:left="0"/>
                    <w:jc w:val="center"/>
                    <w:rPr>
                      <w:rFonts w:ascii="Century Gothic" w:hAnsi="Century Gothic"/>
                      <w:b/>
                      <w:sz w:val="20"/>
                      <w:szCs w:val="20"/>
                    </w:rPr>
                  </w:pPr>
                  <w:r w:rsidRPr="006247B1">
                    <w:rPr>
                      <w:rFonts w:ascii="Century Gothic" w:hAnsi="Century Gothic"/>
                      <w:b/>
                      <w:sz w:val="20"/>
                      <w:szCs w:val="20"/>
                    </w:rPr>
                    <w:t>SEMESTRE 2</w:t>
                  </w:r>
                </w:p>
              </w:tc>
              <w:tc>
                <w:tcPr>
                  <w:tcW w:w="2356" w:type="dxa"/>
                  <w:shd w:val="clear" w:color="auto" w:fill="F79646"/>
                  <w:vAlign w:val="center"/>
                </w:tcPr>
                <w:p w:rsidR="0071088A" w:rsidRPr="006247B1" w:rsidRDefault="0071088A" w:rsidP="006247B1">
                  <w:pPr>
                    <w:pStyle w:val="Paragraphedeliste"/>
                    <w:spacing w:after="0" w:line="240" w:lineRule="auto"/>
                    <w:ind w:left="0"/>
                    <w:jc w:val="center"/>
                    <w:rPr>
                      <w:rFonts w:ascii="Century Gothic" w:hAnsi="Century Gothic"/>
                      <w:b/>
                      <w:sz w:val="20"/>
                      <w:szCs w:val="20"/>
                    </w:rPr>
                  </w:pPr>
                  <w:r w:rsidRPr="006247B1">
                    <w:rPr>
                      <w:rFonts w:ascii="Century Gothic" w:hAnsi="Century Gothic"/>
                      <w:b/>
                      <w:sz w:val="20"/>
                      <w:szCs w:val="20"/>
                    </w:rPr>
                    <w:t>TOTAL</w:t>
                  </w:r>
                </w:p>
              </w:tc>
            </w:tr>
            <w:tr w:rsidR="0071088A" w:rsidRPr="006247B1" w:rsidTr="006247B1">
              <w:trPr>
                <w:trHeight w:val="305"/>
              </w:trPr>
              <w:tc>
                <w:tcPr>
                  <w:tcW w:w="2356" w:type="dxa"/>
                  <w:vAlign w:val="center"/>
                </w:tcPr>
                <w:p w:rsidR="0071088A" w:rsidRPr="006247B1" w:rsidRDefault="0071088A" w:rsidP="006247B1">
                  <w:pPr>
                    <w:pStyle w:val="Paragraphedeliste"/>
                    <w:spacing w:after="0" w:line="240" w:lineRule="auto"/>
                    <w:ind w:left="0"/>
                    <w:rPr>
                      <w:rFonts w:ascii="Century Gothic" w:hAnsi="Century Gothic"/>
                      <w:sz w:val="20"/>
                      <w:szCs w:val="20"/>
                    </w:rPr>
                  </w:pPr>
                  <w:r w:rsidRPr="006247B1">
                    <w:rPr>
                      <w:rFonts w:ascii="Century Gothic" w:hAnsi="Century Gothic"/>
                      <w:sz w:val="20"/>
                      <w:szCs w:val="20"/>
                    </w:rPr>
                    <w:t>MER INVENTORIEES</w:t>
                  </w:r>
                </w:p>
              </w:tc>
              <w:tc>
                <w:tcPr>
                  <w:tcW w:w="2356" w:type="dxa"/>
                  <w:vAlign w:val="center"/>
                </w:tcPr>
                <w:p w:rsidR="0071088A" w:rsidRPr="006247B1" w:rsidRDefault="0071088A" w:rsidP="006247B1">
                  <w:pPr>
                    <w:pStyle w:val="Paragraphedeliste"/>
                    <w:spacing w:after="0" w:line="240" w:lineRule="auto"/>
                    <w:ind w:left="0"/>
                    <w:jc w:val="center"/>
                    <w:rPr>
                      <w:rFonts w:ascii="Century Gothic" w:hAnsi="Century Gothic"/>
                      <w:sz w:val="20"/>
                      <w:szCs w:val="20"/>
                    </w:rPr>
                  </w:pPr>
                  <w:r w:rsidRPr="006247B1">
                    <w:rPr>
                      <w:rFonts w:ascii="Century Gothic" w:hAnsi="Century Gothic"/>
                      <w:sz w:val="20"/>
                      <w:szCs w:val="20"/>
                    </w:rPr>
                    <w:t>27 722</w:t>
                  </w:r>
                </w:p>
              </w:tc>
              <w:tc>
                <w:tcPr>
                  <w:tcW w:w="2356" w:type="dxa"/>
                  <w:vAlign w:val="center"/>
                </w:tcPr>
                <w:p w:rsidR="0071088A" w:rsidRPr="006247B1" w:rsidRDefault="0071088A" w:rsidP="006247B1">
                  <w:pPr>
                    <w:pStyle w:val="Paragraphedeliste"/>
                    <w:spacing w:after="0" w:line="240" w:lineRule="auto"/>
                    <w:ind w:left="0"/>
                    <w:jc w:val="center"/>
                    <w:rPr>
                      <w:rFonts w:ascii="Century Gothic" w:hAnsi="Century Gothic"/>
                      <w:sz w:val="20"/>
                      <w:szCs w:val="20"/>
                    </w:rPr>
                  </w:pPr>
                  <w:r w:rsidRPr="006247B1">
                    <w:rPr>
                      <w:rFonts w:ascii="Century Gothic" w:hAnsi="Century Gothic"/>
                      <w:sz w:val="20"/>
                      <w:szCs w:val="20"/>
                    </w:rPr>
                    <w:t>5317</w:t>
                  </w:r>
                </w:p>
              </w:tc>
              <w:tc>
                <w:tcPr>
                  <w:tcW w:w="2356" w:type="dxa"/>
                  <w:vAlign w:val="center"/>
                </w:tcPr>
                <w:p w:rsidR="0071088A" w:rsidRPr="006247B1" w:rsidRDefault="0071088A" w:rsidP="006247B1">
                  <w:pPr>
                    <w:pStyle w:val="Paragraphedeliste"/>
                    <w:spacing w:after="0" w:line="240" w:lineRule="auto"/>
                    <w:ind w:left="0"/>
                    <w:jc w:val="center"/>
                    <w:rPr>
                      <w:rFonts w:ascii="Century Gothic" w:hAnsi="Century Gothic"/>
                      <w:sz w:val="20"/>
                      <w:szCs w:val="20"/>
                    </w:rPr>
                  </w:pPr>
                  <w:r w:rsidRPr="006247B1">
                    <w:rPr>
                      <w:rFonts w:ascii="Century Gothic" w:hAnsi="Century Gothic"/>
                      <w:sz w:val="20"/>
                      <w:szCs w:val="20"/>
                    </w:rPr>
                    <w:t>33 039</w:t>
                  </w:r>
                </w:p>
              </w:tc>
            </w:tr>
            <w:tr w:rsidR="0071088A" w:rsidRPr="006247B1" w:rsidTr="006247B1">
              <w:trPr>
                <w:trHeight w:val="305"/>
              </w:trPr>
              <w:tc>
                <w:tcPr>
                  <w:tcW w:w="2356" w:type="dxa"/>
                  <w:vAlign w:val="center"/>
                </w:tcPr>
                <w:p w:rsidR="0071088A" w:rsidRPr="006247B1" w:rsidRDefault="0071088A" w:rsidP="006247B1">
                  <w:pPr>
                    <w:pStyle w:val="Paragraphedeliste"/>
                    <w:spacing w:after="0" w:line="240" w:lineRule="auto"/>
                    <w:ind w:left="0"/>
                    <w:rPr>
                      <w:rFonts w:ascii="Century Gothic" w:hAnsi="Century Gothic"/>
                      <w:sz w:val="20"/>
                      <w:szCs w:val="20"/>
                    </w:rPr>
                  </w:pPr>
                  <w:r w:rsidRPr="006247B1">
                    <w:rPr>
                      <w:rFonts w:ascii="Century Gothic" w:hAnsi="Century Gothic"/>
                      <w:sz w:val="20"/>
                      <w:szCs w:val="20"/>
                    </w:rPr>
                    <w:t>MER VALIDEES</w:t>
                  </w:r>
                </w:p>
              </w:tc>
              <w:tc>
                <w:tcPr>
                  <w:tcW w:w="2356" w:type="dxa"/>
                  <w:vAlign w:val="center"/>
                </w:tcPr>
                <w:p w:rsidR="0071088A" w:rsidRPr="006247B1" w:rsidRDefault="0071088A" w:rsidP="006247B1">
                  <w:pPr>
                    <w:pStyle w:val="Paragraphedeliste"/>
                    <w:spacing w:after="0" w:line="240" w:lineRule="auto"/>
                    <w:ind w:left="0"/>
                    <w:jc w:val="center"/>
                    <w:rPr>
                      <w:rFonts w:ascii="Century Gothic" w:hAnsi="Century Gothic"/>
                      <w:sz w:val="20"/>
                      <w:szCs w:val="20"/>
                    </w:rPr>
                  </w:pPr>
                  <w:r w:rsidRPr="006247B1">
                    <w:rPr>
                      <w:rFonts w:ascii="Century Gothic" w:hAnsi="Century Gothic"/>
                      <w:sz w:val="20"/>
                      <w:szCs w:val="20"/>
                    </w:rPr>
                    <w:t>3 434</w:t>
                  </w:r>
                </w:p>
              </w:tc>
              <w:tc>
                <w:tcPr>
                  <w:tcW w:w="2356" w:type="dxa"/>
                  <w:vAlign w:val="center"/>
                </w:tcPr>
                <w:p w:rsidR="0071088A" w:rsidRPr="006247B1" w:rsidRDefault="0071088A" w:rsidP="006247B1">
                  <w:pPr>
                    <w:pStyle w:val="Paragraphedeliste"/>
                    <w:spacing w:after="0" w:line="240" w:lineRule="auto"/>
                    <w:ind w:left="0"/>
                    <w:jc w:val="center"/>
                    <w:rPr>
                      <w:rFonts w:ascii="Century Gothic" w:hAnsi="Century Gothic"/>
                      <w:sz w:val="20"/>
                      <w:szCs w:val="20"/>
                    </w:rPr>
                  </w:pPr>
                  <w:r w:rsidRPr="006247B1">
                    <w:rPr>
                      <w:rFonts w:ascii="Century Gothic" w:hAnsi="Century Gothic"/>
                      <w:sz w:val="20"/>
                      <w:szCs w:val="20"/>
                    </w:rPr>
                    <w:t>10 995</w:t>
                  </w:r>
                </w:p>
              </w:tc>
              <w:tc>
                <w:tcPr>
                  <w:tcW w:w="2356" w:type="dxa"/>
                  <w:vAlign w:val="center"/>
                </w:tcPr>
                <w:p w:rsidR="0071088A" w:rsidRPr="006247B1" w:rsidRDefault="0071088A" w:rsidP="006247B1">
                  <w:pPr>
                    <w:pStyle w:val="Paragraphedeliste"/>
                    <w:spacing w:after="0" w:line="240" w:lineRule="auto"/>
                    <w:ind w:left="0"/>
                    <w:jc w:val="center"/>
                    <w:rPr>
                      <w:rFonts w:ascii="Century Gothic" w:hAnsi="Century Gothic"/>
                      <w:sz w:val="20"/>
                      <w:szCs w:val="20"/>
                    </w:rPr>
                  </w:pPr>
                  <w:r w:rsidRPr="006247B1">
                    <w:rPr>
                      <w:rFonts w:ascii="Century Gothic" w:hAnsi="Century Gothic"/>
                      <w:sz w:val="20"/>
                      <w:szCs w:val="20"/>
                    </w:rPr>
                    <w:t>14 419</w:t>
                  </w:r>
                </w:p>
              </w:tc>
            </w:tr>
          </w:tbl>
          <w:p w:rsidR="0071088A" w:rsidRPr="00952681" w:rsidRDefault="0071088A" w:rsidP="0071088A">
            <w:pPr>
              <w:pStyle w:val="Paragraphedeliste"/>
              <w:spacing w:after="0" w:line="240" w:lineRule="auto"/>
              <w:ind w:left="425"/>
              <w:jc w:val="both"/>
              <w:rPr>
                <w:rFonts w:ascii="Century Gothic" w:hAnsi="Century Gothic"/>
                <w:sz w:val="20"/>
                <w:szCs w:val="20"/>
              </w:rPr>
            </w:pPr>
          </w:p>
          <w:p w:rsidR="000169D7" w:rsidRPr="00952681" w:rsidRDefault="000169D7" w:rsidP="000169D7">
            <w:pPr>
              <w:pStyle w:val="Paragraphedeliste"/>
              <w:tabs>
                <w:tab w:val="left" w:pos="1008"/>
              </w:tabs>
              <w:spacing w:after="0" w:line="240" w:lineRule="auto"/>
              <w:ind w:left="426"/>
              <w:jc w:val="both"/>
              <w:rPr>
                <w:rFonts w:ascii="Century Gothic" w:eastAsia="Times New Roman" w:hAnsi="Century Gothic"/>
                <w:sz w:val="20"/>
                <w:szCs w:val="20"/>
              </w:rPr>
            </w:pPr>
          </w:p>
          <w:p w:rsidR="000169D7" w:rsidRPr="00952681" w:rsidRDefault="000169D7" w:rsidP="006247B1">
            <w:pPr>
              <w:pStyle w:val="Paragraphedeliste"/>
              <w:numPr>
                <w:ilvl w:val="0"/>
                <w:numId w:val="10"/>
              </w:numPr>
              <w:spacing w:after="0" w:line="240" w:lineRule="auto"/>
              <w:ind w:left="426"/>
              <w:jc w:val="both"/>
              <w:rPr>
                <w:rFonts w:ascii="Century Gothic" w:eastAsia="Times New Roman" w:hAnsi="Century Gothic"/>
                <w:sz w:val="20"/>
                <w:szCs w:val="20"/>
              </w:rPr>
            </w:pPr>
            <w:r w:rsidRPr="00952681">
              <w:rPr>
                <w:rFonts w:ascii="Century Gothic" w:eastAsia="Times New Roman" w:hAnsi="Century Gothic"/>
                <w:sz w:val="20"/>
                <w:szCs w:val="20"/>
              </w:rPr>
              <w:t xml:space="preserve">Parmi les MER validées, On compte actuellement </w:t>
            </w:r>
            <w:r w:rsidR="006E43A2" w:rsidRPr="00957DE8">
              <w:rPr>
                <w:rFonts w:ascii="Century Gothic" w:eastAsia="Times New Roman" w:hAnsi="Century Gothic"/>
                <w:sz w:val="20"/>
                <w:szCs w:val="20"/>
              </w:rPr>
              <w:t>2 994</w:t>
            </w:r>
            <w:r w:rsidRPr="00952681">
              <w:rPr>
                <w:rFonts w:ascii="Century Gothic" w:eastAsia="Times New Roman" w:hAnsi="Century Gothic"/>
                <w:b/>
                <w:color w:val="FF0000"/>
                <w:sz w:val="20"/>
                <w:szCs w:val="20"/>
              </w:rPr>
              <w:t xml:space="preserve"> </w:t>
            </w:r>
            <w:r w:rsidRPr="00952681">
              <w:rPr>
                <w:rFonts w:ascii="Century Gothic" w:eastAsia="Times New Roman" w:hAnsi="Century Gothic"/>
                <w:sz w:val="20"/>
                <w:szCs w:val="20"/>
              </w:rPr>
              <w:t xml:space="preserve">MER ayant un Bilan-Plan d’entreprise (BPE) et </w:t>
            </w:r>
            <w:r w:rsidRPr="00957DE8">
              <w:rPr>
                <w:rFonts w:ascii="Century Gothic" w:eastAsia="Times New Roman" w:hAnsi="Century Gothic"/>
                <w:sz w:val="20"/>
                <w:szCs w:val="20"/>
              </w:rPr>
              <w:t>34</w:t>
            </w:r>
            <w:r w:rsidRPr="00952681">
              <w:rPr>
                <w:rFonts w:ascii="Century Gothic" w:eastAsia="Times New Roman" w:hAnsi="Century Gothic"/>
                <w:sz w:val="20"/>
                <w:szCs w:val="20"/>
              </w:rPr>
              <w:t xml:space="preserve"> MER ayant Business Plan élaborés. Ces outils renferment la vision de l’entrepreneur dans la conduite de l’activité. </w:t>
            </w:r>
          </w:p>
          <w:p w:rsidR="000169D7" w:rsidRPr="000169D7" w:rsidRDefault="000169D7" w:rsidP="000169D7">
            <w:pPr>
              <w:rPr>
                <w:rFonts w:ascii="Century Gothic" w:hAnsi="Century Gothic"/>
                <w:sz w:val="20"/>
                <w:szCs w:val="20"/>
                <w:lang w:val="fr-FR"/>
              </w:rPr>
            </w:pPr>
          </w:p>
          <w:p w:rsidR="000169D7" w:rsidRPr="000169D7" w:rsidRDefault="000169D7" w:rsidP="000169D7">
            <w:pPr>
              <w:widowControl w:val="0"/>
              <w:adjustRightInd w:val="0"/>
              <w:spacing w:line="0" w:lineRule="atLeast"/>
              <w:jc w:val="both"/>
              <w:textAlignment w:val="baseline"/>
              <w:rPr>
                <w:rFonts w:ascii="Century Gothic" w:hAnsi="Century Gothic"/>
                <w:bCs/>
                <w:sz w:val="20"/>
                <w:szCs w:val="20"/>
                <w:lang w:val="fr-FR"/>
              </w:rPr>
            </w:pPr>
            <w:r w:rsidRPr="000169D7">
              <w:rPr>
                <w:rFonts w:ascii="Century Gothic" w:hAnsi="Century Gothic"/>
                <w:sz w:val="20"/>
                <w:szCs w:val="20"/>
                <w:lang w:val="fr-FR"/>
              </w:rPr>
              <w:t xml:space="preserve">Sous composante 12 : </w:t>
            </w:r>
            <w:r w:rsidRPr="000169D7">
              <w:rPr>
                <w:rFonts w:ascii="Century Gothic" w:hAnsi="Century Gothic"/>
                <w:iCs/>
                <w:sz w:val="20"/>
                <w:szCs w:val="20"/>
                <w:lang w:val="fr-FR"/>
              </w:rPr>
              <w:t>RENFORCEMENT DES STRUCTURES PROFESSIONNELLES ET DE L’INTERFACE PUBLIC-PRIVE</w:t>
            </w:r>
            <w:r w:rsidRPr="000169D7">
              <w:rPr>
                <w:rFonts w:ascii="Century Gothic" w:hAnsi="Century Gothic"/>
                <w:bCs/>
                <w:sz w:val="20"/>
                <w:szCs w:val="20"/>
                <w:lang w:val="fr-FR"/>
              </w:rPr>
              <w:t xml:space="preserve"> </w:t>
            </w:r>
          </w:p>
          <w:p w:rsidR="000169D7" w:rsidRPr="000169D7" w:rsidRDefault="000169D7" w:rsidP="000169D7">
            <w:pPr>
              <w:rPr>
                <w:rFonts w:ascii="Century Gothic" w:hAnsi="Century Gothic"/>
                <w:sz w:val="20"/>
                <w:szCs w:val="20"/>
                <w:lang w:val="fr-FR"/>
              </w:rPr>
            </w:pPr>
          </w:p>
          <w:p w:rsidR="000169D7" w:rsidRPr="00C25655" w:rsidRDefault="000169D7" w:rsidP="006247B1">
            <w:pPr>
              <w:pStyle w:val="Paragraphedeliste"/>
              <w:numPr>
                <w:ilvl w:val="0"/>
                <w:numId w:val="10"/>
              </w:numPr>
              <w:spacing w:after="0" w:line="240" w:lineRule="auto"/>
              <w:ind w:left="426"/>
              <w:jc w:val="both"/>
              <w:rPr>
                <w:rFonts w:ascii="Century Gothic" w:eastAsia="Times New Roman" w:hAnsi="Century Gothic"/>
                <w:sz w:val="20"/>
                <w:szCs w:val="20"/>
              </w:rPr>
            </w:pPr>
            <w:r w:rsidRPr="00952681">
              <w:rPr>
                <w:rFonts w:ascii="Century Gothic" w:eastAsia="Times New Roman" w:hAnsi="Century Gothic"/>
                <w:sz w:val="20"/>
                <w:szCs w:val="20"/>
              </w:rPr>
              <w:t xml:space="preserve"> </w:t>
            </w:r>
            <w:r w:rsidRPr="00952681">
              <w:rPr>
                <w:rFonts w:ascii="Century Gothic" w:hAnsi="Century Gothic"/>
                <w:sz w:val="20"/>
                <w:szCs w:val="20"/>
              </w:rPr>
              <w:t xml:space="preserve">Les équipes régionales de PROSPERER sont déjà actives et bien intégrées dans un partenariat public-privé. </w:t>
            </w:r>
            <w:r w:rsidRPr="00952681">
              <w:rPr>
                <w:rFonts w:ascii="Century Gothic" w:eastAsia="Times New Roman" w:hAnsi="Century Gothic"/>
                <w:color w:val="000000"/>
                <w:sz w:val="20"/>
                <w:szCs w:val="20"/>
              </w:rPr>
              <w:t>Dans chacune des cinq régions d’intervention, les CCI sont renforcées pour assurer la maîtrise d‘œuvre du Programme. Des partenaires issus des directions régionales du MAEP et du MECI et assurant un lien opérationnel avec le Programme sont également renforcées.</w:t>
            </w:r>
            <w:r w:rsidRPr="00952681">
              <w:rPr>
                <w:rFonts w:ascii="Century Gothic" w:hAnsi="Century Gothic"/>
                <w:sz w:val="20"/>
                <w:szCs w:val="20"/>
              </w:rPr>
              <w:t xml:space="preserve"> Dans ce sens, </w:t>
            </w:r>
            <w:r w:rsidR="00957DE8" w:rsidRPr="00957DE8">
              <w:rPr>
                <w:rFonts w:ascii="Century Gothic" w:hAnsi="Century Gothic"/>
                <w:sz w:val="20"/>
                <w:szCs w:val="20"/>
              </w:rPr>
              <w:t>92</w:t>
            </w:r>
            <w:r w:rsidRPr="00952681">
              <w:rPr>
                <w:rFonts w:ascii="Century Gothic" w:hAnsi="Century Gothic"/>
                <w:sz w:val="20"/>
                <w:szCs w:val="20"/>
              </w:rPr>
              <w:t xml:space="preserve"> agents du CCI, DRDR et DRDR sont formés </w:t>
            </w:r>
            <w:r w:rsidRPr="00952681">
              <w:rPr>
                <w:rFonts w:ascii="Century Gothic" w:eastAsia="Times New Roman" w:hAnsi="Century Gothic"/>
                <w:color w:val="000000"/>
                <w:sz w:val="20"/>
                <w:szCs w:val="20"/>
              </w:rPr>
              <w:t>différents thèmes à savoir : la culture entrepreneuriale, trade map et product map, …</w:t>
            </w:r>
            <w:r w:rsidRPr="00952681">
              <w:rPr>
                <w:rFonts w:ascii="Century Gothic" w:eastAsia="Times New Roman" w:hAnsi="Century Gothic"/>
                <w:color w:val="000000"/>
                <w:sz w:val="20"/>
                <w:szCs w:val="20"/>
              </w:rPr>
              <w:tab/>
            </w:r>
          </w:p>
          <w:p w:rsidR="00C25655" w:rsidRPr="00397025" w:rsidRDefault="00C25655" w:rsidP="00C25655">
            <w:pPr>
              <w:pStyle w:val="Paragraphedeliste"/>
              <w:spacing w:after="0" w:line="240" w:lineRule="auto"/>
              <w:ind w:left="426"/>
              <w:jc w:val="both"/>
              <w:rPr>
                <w:rFonts w:ascii="Century Gothic" w:eastAsia="Times New Roman" w:hAnsi="Century Gothic"/>
                <w:sz w:val="20"/>
                <w:szCs w:val="20"/>
              </w:rPr>
            </w:pPr>
          </w:p>
          <w:p w:rsidR="00397025" w:rsidRDefault="00397025" w:rsidP="00397025">
            <w:pPr>
              <w:pStyle w:val="Paragraphedeliste"/>
              <w:spacing w:after="0" w:line="240" w:lineRule="auto"/>
              <w:ind w:left="426"/>
              <w:jc w:val="both"/>
              <w:rPr>
                <w:rFonts w:ascii="Century Gothic" w:eastAsia="Times New Roman" w:hAnsi="Century Gothic"/>
                <w:color w:val="000000"/>
                <w:sz w:val="20"/>
                <w:szCs w:val="20"/>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57"/>
              <w:gridCol w:w="2357"/>
              <w:gridCol w:w="2357"/>
              <w:gridCol w:w="2358"/>
            </w:tblGrid>
            <w:tr w:rsidR="00397025" w:rsidRPr="006247B1" w:rsidTr="006247B1">
              <w:trPr>
                <w:trHeight w:val="254"/>
              </w:trPr>
              <w:tc>
                <w:tcPr>
                  <w:tcW w:w="2357" w:type="dxa"/>
                  <w:shd w:val="clear" w:color="auto" w:fill="F79646"/>
                </w:tcPr>
                <w:p w:rsidR="00397025" w:rsidRPr="006247B1" w:rsidRDefault="00397025" w:rsidP="006247B1">
                  <w:pPr>
                    <w:pStyle w:val="Paragraphedeliste"/>
                    <w:spacing w:after="0" w:line="240" w:lineRule="auto"/>
                    <w:ind w:left="0"/>
                    <w:jc w:val="center"/>
                    <w:rPr>
                      <w:rFonts w:ascii="Century Gothic" w:eastAsia="Times New Roman" w:hAnsi="Century Gothic"/>
                      <w:sz w:val="20"/>
                      <w:szCs w:val="20"/>
                    </w:rPr>
                  </w:pPr>
                </w:p>
              </w:tc>
              <w:tc>
                <w:tcPr>
                  <w:tcW w:w="2357" w:type="dxa"/>
                  <w:shd w:val="clear" w:color="auto" w:fill="F79646"/>
                </w:tcPr>
                <w:p w:rsidR="00397025" w:rsidRPr="006247B1" w:rsidRDefault="00397025" w:rsidP="006247B1">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SEMESTRE 1</w:t>
                  </w:r>
                </w:p>
              </w:tc>
              <w:tc>
                <w:tcPr>
                  <w:tcW w:w="2357" w:type="dxa"/>
                  <w:shd w:val="clear" w:color="auto" w:fill="F79646"/>
                </w:tcPr>
                <w:p w:rsidR="00397025" w:rsidRPr="006247B1" w:rsidRDefault="00397025" w:rsidP="006247B1">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SEMESTRE 2</w:t>
                  </w:r>
                </w:p>
              </w:tc>
              <w:tc>
                <w:tcPr>
                  <w:tcW w:w="2358" w:type="dxa"/>
                  <w:shd w:val="clear" w:color="auto" w:fill="F79646"/>
                </w:tcPr>
                <w:p w:rsidR="00397025" w:rsidRPr="006247B1" w:rsidRDefault="00397025" w:rsidP="006247B1">
                  <w:pPr>
                    <w:pStyle w:val="Paragraphedeliste"/>
                    <w:spacing w:after="0" w:line="240" w:lineRule="auto"/>
                    <w:ind w:left="0"/>
                    <w:jc w:val="center"/>
                    <w:rPr>
                      <w:rFonts w:ascii="Century Gothic" w:eastAsia="Times New Roman" w:hAnsi="Century Gothic"/>
                      <w:b/>
                      <w:sz w:val="20"/>
                      <w:szCs w:val="20"/>
                    </w:rPr>
                  </w:pPr>
                  <w:r w:rsidRPr="006247B1">
                    <w:rPr>
                      <w:rFonts w:ascii="Century Gothic" w:eastAsia="Times New Roman" w:hAnsi="Century Gothic"/>
                      <w:b/>
                      <w:sz w:val="20"/>
                      <w:szCs w:val="20"/>
                    </w:rPr>
                    <w:t>TOTAL</w:t>
                  </w:r>
                </w:p>
              </w:tc>
            </w:tr>
            <w:tr w:rsidR="00397025" w:rsidRPr="006247B1" w:rsidTr="006247B1">
              <w:trPr>
                <w:trHeight w:val="269"/>
              </w:trPr>
              <w:tc>
                <w:tcPr>
                  <w:tcW w:w="2357" w:type="dxa"/>
                </w:tcPr>
                <w:p w:rsidR="00397025" w:rsidRPr="006247B1" w:rsidRDefault="00397025" w:rsidP="006247B1">
                  <w:pPr>
                    <w:pStyle w:val="Paragraphedeliste"/>
                    <w:spacing w:after="0" w:line="240" w:lineRule="auto"/>
                    <w:ind w:left="0"/>
                    <w:jc w:val="both"/>
                    <w:rPr>
                      <w:rFonts w:ascii="Century Gothic" w:eastAsia="Times New Roman" w:hAnsi="Century Gothic"/>
                      <w:sz w:val="20"/>
                      <w:szCs w:val="20"/>
                    </w:rPr>
                  </w:pPr>
                  <w:r w:rsidRPr="006247B1">
                    <w:rPr>
                      <w:rFonts w:ascii="Century Gothic" w:eastAsia="Times New Roman" w:hAnsi="Century Gothic"/>
                      <w:sz w:val="20"/>
                      <w:szCs w:val="20"/>
                    </w:rPr>
                    <w:t>Agents formés</w:t>
                  </w:r>
                </w:p>
              </w:tc>
              <w:tc>
                <w:tcPr>
                  <w:tcW w:w="2357" w:type="dxa"/>
                </w:tcPr>
                <w:p w:rsidR="00397025" w:rsidRPr="006247B1" w:rsidRDefault="00397025" w:rsidP="006247B1">
                  <w:pPr>
                    <w:pStyle w:val="Paragraphedeliste"/>
                    <w:spacing w:after="0" w:line="240" w:lineRule="auto"/>
                    <w:ind w:left="0"/>
                    <w:jc w:val="center"/>
                    <w:rPr>
                      <w:rFonts w:ascii="Century Gothic" w:eastAsia="Times New Roman" w:hAnsi="Century Gothic"/>
                      <w:sz w:val="20"/>
                      <w:szCs w:val="20"/>
                    </w:rPr>
                  </w:pPr>
                  <w:r w:rsidRPr="006247B1">
                    <w:rPr>
                      <w:rFonts w:ascii="Century Gothic" w:eastAsia="Times New Roman" w:hAnsi="Century Gothic"/>
                      <w:sz w:val="20"/>
                      <w:szCs w:val="20"/>
                    </w:rPr>
                    <w:t>64</w:t>
                  </w:r>
                </w:p>
              </w:tc>
              <w:tc>
                <w:tcPr>
                  <w:tcW w:w="2357" w:type="dxa"/>
                </w:tcPr>
                <w:p w:rsidR="00397025" w:rsidRPr="006247B1" w:rsidRDefault="00397025" w:rsidP="006247B1">
                  <w:pPr>
                    <w:pStyle w:val="Paragraphedeliste"/>
                    <w:spacing w:after="0" w:line="240" w:lineRule="auto"/>
                    <w:ind w:left="0"/>
                    <w:jc w:val="center"/>
                    <w:rPr>
                      <w:rFonts w:ascii="Century Gothic" w:eastAsia="Times New Roman" w:hAnsi="Century Gothic"/>
                      <w:sz w:val="20"/>
                      <w:szCs w:val="20"/>
                    </w:rPr>
                  </w:pPr>
                  <w:r w:rsidRPr="006247B1">
                    <w:rPr>
                      <w:rFonts w:ascii="Century Gothic" w:eastAsia="Times New Roman" w:hAnsi="Century Gothic"/>
                      <w:sz w:val="20"/>
                      <w:szCs w:val="20"/>
                    </w:rPr>
                    <w:t>28</w:t>
                  </w:r>
                </w:p>
              </w:tc>
              <w:tc>
                <w:tcPr>
                  <w:tcW w:w="2358" w:type="dxa"/>
                </w:tcPr>
                <w:p w:rsidR="00397025" w:rsidRPr="006247B1" w:rsidRDefault="00397025" w:rsidP="006247B1">
                  <w:pPr>
                    <w:pStyle w:val="Paragraphedeliste"/>
                    <w:spacing w:after="0" w:line="240" w:lineRule="auto"/>
                    <w:ind w:left="0"/>
                    <w:jc w:val="center"/>
                    <w:rPr>
                      <w:rFonts w:ascii="Century Gothic" w:eastAsia="Times New Roman" w:hAnsi="Century Gothic"/>
                      <w:sz w:val="20"/>
                      <w:szCs w:val="20"/>
                    </w:rPr>
                  </w:pPr>
                  <w:r w:rsidRPr="006247B1">
                    <w:rPr>
                      <w:rFonts w:ascii="Century Gothic" w:eastAsia="Times New Roman" w:hAnsi="Century Gothic"/>
                      <w:sz w:val="20"/>
                      <w:szCs w:val="20"/>
                    </w:rPr>
                    <w:t>92</w:t>
                  </w:r>
                </w:p>
              </w:tc>
            </w:tr>
          </w:tbl>
          <w:p w:rsidR="00397025" w:rsidRPr="00952681" w:rsidRDefault="00397025" w:rsidP="00397025">
            <w:pPr>
              <w:pStyle w:val="Paragraphedeliste"/>
              <w:spacing w:after="0" w:line="240" w:lineRule="auto"/>
              <w:ind w:left="426"/>
              <w:jc w:val="both"/>
              <w:rPr>
                <w:rFonts w:ascii="Century Gothic" w:eastAsia="Times New Roman" w:hAnsi="Century Gothic"/>
                <w:sz w:val="20"/>
                <w:szCs w:val="20"/>
              </w:rPr>
            </w:pPr>
          </w:p>
          <w:p w:rsidR="000169D7" w:rsidRPr="00952681" w:rsidRDefault="000169D7" w:rsidP="000169D7">
            <w:pPr>
              <w:pStyle w:val="Paragraphedeliste"/>
              <w:spacing w:after="0" w:line="240" w:lineRule="auto"/>
              <w:ind w:left="426"/>
              <w:jc w:val="both"/>
              <w:rPr>
                <w:rFonts w:ascii="Century Gothic" w:eastAsia="Times New Roman" w:hAnsi="Century Gothic"/>
                <w:sz w:val="20"/>
                <w:szCs w:val="20"/>
              </w:rPr>
            </w:pPr>
          </w:p>
          <w:p w:rsidR="000169D7" w:rsidRPr="00952681" w:rsidRDefault="000169D7" w:rsidP="006247B1">
            <w:pPr>
              <w:pStyle w:val="Paragraphedeliste"/>
              <w:numPr>
                <w:ilvl w:val="0"/>
                <w:numId w:val="10"/>
              </w:numPr>
              <w:spacing w:after="0" w:line="240" w:lineRule="auto"/>
              <w:ind w:left="426"/>
              <w:jc w:val="both"/>
              <w:rPr>
                <w:rFonts w:ascii="Century Gothic" w:eastAsia="Times New Roman" w:hAnsi="Century Gothic"/>
                <w:sz w:val="20"/>
                <w:szCs w:val="20"/>
              </w:rPr>
            </w:pPr>
            <w:r w:rsidRPr="00952681">
              <w:rPr>
                <w:rFonts w:ascii="Century Gothic" w:eastAsia="Times New Roman" w:hAnsi="Century Gothic"/>
                <w:sz w:val="20"/>
                <w:szCs w:val="20"/>
              </w:rPr>
              <w:t xml:space="preserve">Parmi les </w:t>
            </w:r>
            <w:r w:rsidRPr="00957DE8">
              <w:rPr>
                <w:rFonts w:ascii="Century Gothic" w:eastAsia="Times New Roman" w:hAnsi="Century Gothic"/>
                <w:sz w:val="20"/>
                <w:szCs w:val="20"/>
              </w:rPr>
              <w:t>733</w:t>
            </w:r>
            <w:r w:rsidRPr="00952681">
              <w:rPr>
                <w:rFonts w:ascii="Century Gothic" w:eastAsia="Times New Roman" w:hAnsi="Century Gothic"/>
                <w:sz w:val="20"/>
                <w:szCs w:val="20"/>
              </w:rPr>
              <w:t xml:space="preserve"> AGB et </w:t>
            </w:r>
            <w:r w:rsidRPr="00957DE8">
              <w:rPr>
                <w:rFonts w:ascii="Century Gothic" w:eastAsia="Times New Roman" w:hAnsi="Century Gothic"/>
                <w:sz w:val="20"/>
                <w:szCs w:val="20"/>
              </w:rPr>
              <w:t>31</w:t>
            </w:r>
            <w:r w:rsidRPr="00952681">
              <w:rPr>
                <w:rFonts w:ascii="Century Gothic" w:eastAsia="Times New Roman" w:hAnsi="Century Gothic"/>
                <w:sz w:val="20"/>
                <w:szCs w:val="20"/>
              </w:rPr>
              <w:t xml:space="preserve"> OP inventoriées, </w:t>
            </w:r>
            <w:r w:rsidR="00957DE8" w:rsidRPr="00957DE8">
              <w:rPr>
                <w:rFonts w:ascii="Century Gothic" w:eastAsia="Times New Roman" w:hAnsi="Century Gothic"/>
                <w:sz w:val="20"/>
                <w:szCs w:val="20"/>
              </w:rPr>
              <w:t>211</w:t>
            </w:r>
            <w:r w:rsidRPr="00952681">
              <w:rPr>
                <w:rFonts w:ascii="Century Gothic" w:eastAsia="Times New Roman" w:hAnsi="Century Gothic"/>
                <w:sz w:val="20"/>
                <w:szCs w:val="20"/>
              </w:rPr>
              <w:t xml:space="preserve"> AGB et </w:t>
            </w:r>
            <w:r w:rsidR="00957DE8" w:rsidRPr="00957DE8">
              <w:rPr>
                <w:rFonts w:ascii="Century Gothic" w:eastAsia="Times New Roman" w:hAnsi="Century Gothic"/>
                <w:sz w:val="20"/>
                <w:szCs w:val="20"/>
              </w:rPr>
              <w:t>16</w:t>
            </w:r>
            <w:r w:rsidRPr="00952681">
              <w:rPr>
                <w:rFonts w:ascii="Century Gothic" w:eastAsia="Times New Roman" w:hAnsi="Century Gothic"/>
                <w:sz w:val="20"/>
                <w:szCs w:val="20"/>
              </w:rPr>
              <w:t xml:space="preserve"> OP sont formées sur la consolidation dans la gestion de leurs organisations et l’accès groupée au marché. En ce qui concerne les PCAF ou l’embryon des PCAF, c</w:t>
            </w:r>
            <w:r w:rsidRPr="00952681">
              <w:rPr>
                <w:rFonts w:ascii="Century Gothic" w:hAnsi="Century Gothic"/>
                <w:sz w:val="20"/>
                <w:szCs w:val="20"/>
              </w:rPr>
              <w:t>ertaines plateformes et/ou fédérations impliquées dans les filières sélectionnées font déjà l’objet d’une attention particulière de la part  du Programme entre autres de la filière cultures maraîchères dans l’Analamanga, de la filière soie dans l’Itasy, de la filière huile essentielle dans la Haute Matsiatra, de la filière miel dans le Vatovavy-Fitovinany et de la filière raphia dans la Sofia.</w:t>
            </w:r>
          </w:p>
          <w:p w:rsidR="000169D7" w:rsidRPr="000169D7" w:rsidRDefault="000169D7" w:rsidP="000169D7">
            <w:pPr>
              <w:rPr>
                <w:rFonts w:ascii="Century Gothic" w:hAnsi="Century Gothic"/>
                <w:b/>
                <w:i/>
                <w:sz w:val="20"/>
                <w:szCs w:val="20"/>
                <w:lang w:val="fr-FR"/>
              </w:rPr>
            </w:pPr>
          </w:p>
          <w:p w:rsidR="000169D7" w:rsidRPr="000169D7" w:rsidRDefault="000169D7" w:rsidP="000169D7">
            <w:pPr>
              <w:rPr>
                <w:rFonts w:ascii="Century Gothic" w:hAnsi="Century Gothic"/>
                <w:b/>
                <w:sz w:val="20"/>
                <w:szCs w:val="20"/>
                <w:u w:val="single"/>
                <w:lang w:val="fr-FR"/>
              </w:rPr>
            </w:pPr>
            <w:r w:rsidRPr="000169D7">
              <w:rPr>
                <w:rFonts w:ascii="Century Gothic" w:hAnsi="Century Gothic"/>
                <w:b/>
                <w:sz w:val="20"/>
                <w:szCs w:val="20"/>
                <w:u w:val="single"/>
                <w:lang w:val="fr-FR"/>
              </w:rPr>
              <w:t>En termes de Produits issus des activités</w:t>
            </w:r>
            <w:r w:rsidRPr="000169D7">
              <w:rPr>
                <w:rFonts w:ascii="Century Gothic" w:hAnsi="Century Gothic"/>
                <w:b/>
                <w:sz w:val="20"/>
                <w:szCs w:val="20"/>
                <w:lang w:val="fr-FR"/>
              </w:rPr>
              <w:t xml:space="preserve">  </w:t>
            </w:r>
          </w:p>
          <w:p w:rsidR="000169D7" w:rsidRPr="000169D7" w:rsidRDefault="000169D7" w:rsidP="000169D7">
            <w:pPr>
              <w:jc w:val="both"/>
              <w:rPr>
                <w:rFonts w:ascii="Century Gothic" w:hAnsi="Century Gothic"/>
                <w:sz w:val="20"/>
                <w:szCs w:val="20"/>
                <w:lang w:val="fr-FR"/>
              </w:rPr>
            </w:pPr>
          </w:p>
          <w:p w:rsidR="000169D7" w:rsidRDefault="000169D7" w:rsidP="000169D7">
            <w:pPr>
              <w:jc w:val="both"/>
              <w:rPr>
                <w:rFonts w:ascii="Century Gothic" w:hAnsi="Century Gothic"/>
                <w:sz w:val="20"/>
                <w:szCs w:val="20"/>
              </w:rPr>
            </w:pPr>
            <w:r w:rsidRPr="000169D7">
              <w:rPr>
                <w:rFonts w:ascii="Century Gothic" w:hAnsi="Century Gothic"/>
                <w:sz w:val="20"/>
                <w:szCs w:val="20"/>
                <w:lang w:val="fr-FR"/>
              </w:rPr>
              <w:t xml:space="preserve">Tous les Produits issus de la mise en œuvre de ces activités ne sont pas encore atteints en 2009 faute de retard de démarrage dû à la crise politique. </w:t>
            </w:r>
            <w:r>
              <w:rPr>
                <w:rFonts w:ascii="Century Gothic" w:hAnsi="Century Gothic"/>
                <w:sz w:val="20"/>
                <w:szCs w:val="20"/>
              </w:rPr>
              <w:t>Pourtant les produits ci-après sont déjà palpables :</w:t>
            </w:r>
          </w:p>
          <w:p w:rsidR="000169D7" w:rsidRPr="00952681" w:rsidRDefault="00957DE8" w:rsidP="006247B1">
            <w:pPr>
              <w:pStyle w:val="Paragraphedeliste"/>
              <w:numPr>
                <w:ilvl w:val="0"/>
                <w:numId w:val="20"/>
              </w:numPr>
              <w:spacing w:after="0" w:line="240" w:lineRule="auto"/>
              <w:jc w:val="both"/>
              <w:rPr>
                <w:rFonts w:ascii="Century Gothic" w:hAnsi="Century Gothic"/>
                <w:sz w:val="20"/>
                <w:szCs w:val="20"/>
              </w:rPr>
            </w:pPr>
            <w:r>
              <w:rPr>
                <w:rFonts w:ascii="Century Gothic" w:hAnsi="Century Gothic"/>
                <w:sz w:val="20"/>
                <w:szCs w:val="20"/>
              </w:rPr>
              <w:t xml:space="preserve">Plus de 33 000 </w:t>
            </w:r>
            <w:r w:rsidR="000169D7" w:rsidRPr="00952681">
              <w:rPr>
                <w:rFonts w:ascii="Century Gothic" w:hAnsi="Century Gothic"/>
                <w:sz w:val="20"/>
                <w:szCs w:val="20"/>
              </w:rPr>
              <w:t xml:space="preserve">MER validées sont informées  et </w:t>
            </w:r>
            <w:r>
              <w:rPr>
                <w:rFonts w:ascii="Century Gothic" w:hAnsi="Century Gothic"/>
                <w:sz w:val="20"/>
                <w:szCs w:val="20"/>
              </w:rPr>
              <w:t xml:space="preserve">Plus de 14 000 MER </w:t>
            </w:r>
            <w:r w:rsidR="000169D7" w:rsidRPr="00952681">
              <w:rPr>
                <w:rFonts w:ascii="Century Gothic" w:hAnsi="Century Gothic"/>
                <w:sz w:val="20"/>
                <w:szCs w:val="20"/>
              </w:rPr>
              <w:t xml:space="preserve">sollicitent l’appui du Programme,  </w:t>
            </w:r>
          </w:p>
          <w:p w:rsidR="000169D7" w:rsidRPr="00952681" w:rsidRDefault="000169D7" w:rsidP="006247B1">
            <w:pPr>
              <w:pStyle w:val="Paragraphedeliste"/>
              <w:numPr>
                <w:ilvl w:val="0"/>
                <w:numId w:val="20"/>
              </w:numPr>
              <w:spacing w:after="0" w:line="240" w:lineRule="auto"/>
              <w:jc w:val="both"/>
              <w:rPr>
                <w:rFonts w:ascii="Century Gothic" w:hAnsi="Century Gothic"/>
                <w:sz w:val="20"/>
                <w:szCs w:val="20"/>
              </w:rPr>
            </w:pPr>
            <w:r w:rsidRPr="00952681">
              <w:rPr>
                <w:rFonts w:ascii="Century Gothic" w:hAnsi="Century Gothic"/>
                <w:sz w:val="20"/>
                <w:szCs w:val="20"/>
              </w:rPr>
              <w:t>Les capacités opérationnelles des CCI, DRDR, DRDE, sont renforcées.</w:t>
            </w:r>
          </w:p>
          <w:p w:rsidR="000169D7" w:rsidRPr="000169D7" w:rsidRDefault="000169D7" w:rsidP="000169D7">
            <w:pPr>
              <w:jc w:val="both"/>
              <w:rPr>
                <w:rFonts w:ascii="Century Gothic" w:hAnsi="Century Gothic"/>
                <w:sz w:val="20"/>
                <w:szCs w:val="20"/>
                <w:lang w:val="fr-FR"/>
              </w:rPr>
            </w:pPr>
            <w:r w:rsidRPr="000169D7">
              <w:rPr>
                <w:rFonts w:ascii="Century Gothic" w:hAnsi="Century Gothic"/>
                <w:sz w:val="20"/>
                <w:szCs w:val="20"/>
                <w:lang w:val="fr-FR"/>
              </w:rPr>
              <w:t xml:space="preserve">Les autres produits relatifs aux renforcements des capacités opérationnelles  des associations, des groupements de base et des organisations professionnelles, aux plans de développement qui soutiennent le développement des MER/PER et enfin à l’opérationnalisation des Plateformes intégrants les AGB, OP et les corps de métiers ne seront pas atteints qu’en 2010. </w:t>
            </w:r>
          </w:p>
          <w:p w:rsidR="000169D7" w:rsidRPr="000169D7" w:rsidRDefault="000169D7" w:rsidP="000169D7">
            <w:pPr>
              <w:rPr>
                <w:rFonts w:ascii="Century Gothic" w:hAnsi="Century Gothic"/>
                <w:sz w:val="20"/>
                <w:szCs w:val="20"/>
                <w:lang w:val="fr-FR"/>
              </w:rPr>
            </w:pPr>
          </w:p>
          <w:p w:rsidR="000169D7" w:rsidRPr="000169D7" w:rsidRDefault="000169D7" w:rsidP="000169D7">
            <w:pPr>
              <w:jc w:val="both"/>
              <w:rPr>
                <w:b/>
                <w:bCs/>
                <w:color w:val="000000"/>
                <w:sz w:val="22"/>
                <w:szCs w:val="22"/>
                <w:lang w:val="fr-FR" w:eastAsia="fr-FR"/>
              </w:rPr>
            </w:pPr>
            <w:r w:rsidRPr="000169D7">
              <w:rPr>
                <w:b/>
                <w:sz w:val="22"/>
                <w:szCs w:val="22"/>
                <w:lang w:val="fr-FR"/>
              </w:rPr>
              <w:t xml:space="preserve">COMPOSANTE 2 : </w:t>
            </w:r>
            <w:r w:rsidRPr="000169D7">
              <w:rPr>
                <w:b/>
                <w:bCs/>
                <w:color w:val="000000"/>
                <w:sz w:val="22"/>
                <w:szCs w:val="22"/>
                <w:lang w:val="fr-FR" w:eastAsia="fr-FR"/>
              </w:rPr>
              <w:t>SERVICE D’APPUI AUX MICRO ENTREPRISES ET FORMATION PROFESSIONNELLE</w:t>
            </w:r>
          </w:p>
          <w:p w:rsidR="000169D7" w:rsidRPr="000169D7" w:rsidRDefault="000169D7" w:rsidP="000169D7">
            <w:pPr>
              <w:rPr>
                <w:rFonts w:ascii="Century Gothic" w:hAnsi="Century Gothic"/>
                <w:sz w:val="20"/>
                <w:szCs w:val="20"/>
                <w:lang w:val="fr-FR"/>
              </w:rPr>
            </w:pPr>
          </w:p>
          <w:p w:rsidR="000169D7" w:rsidRPr="000169D7" w:rsidRDefault="000169D7" w:rsidP="000169D7">
            <w:pPr>
              <w:rPr>
                <w:rFonts w:ascii="Century Gothic" w:hAnsi="Century Gothic"/>
                <w:sz w:val="20"/>
                <w:szCs w:val="20"/>
                <w:lang w:val="fr-FR"/>
              </w:rPr>
            </w:pPr>
            <w:r w:rsidRPr="000169D7">
              <w:rPr>
                <w:rFonts w:ascii="Century Gothic" w:hAnsi="Century Gothic"/>
                <w:b/>
                <w:sz w:val="20"/>
                <w:szCs w:val="20"/>
                <w:u w:val="single"/>
                <w:lang w:val="fr-FR"/>
              </w:rPr>
              <w:t xml:space="preserve">En termes  d’activités </w:t>
            </w:r>
          </w:p>
          <w:p w:rsidR="000169D7" w:rsidRDefault="000169D7" w:rsidP="000169D7">
            <w:pPr>
              <w:rPr>
                <w:rFonts w:ascii="Century Gothic" w:hAnsi="Century Gothic"/>
                <w:sz w:val="20"/>
                <w:szCs w:val="20"/>
                <w:lang w:val="fr-FR"/>
              </w:rPr>
            </w:pPr>
          </w:p>
          <w:p w:rsidR="008C54A9" w:rsidRPr="008C54A9" w:rsidRDefault="00676760" w:rsidP="005F07E7">
            <w:pPr>
              <w:jc w:val="both"/>
              <w:rPr>
                <w:rFonts w:ascii="Century Gothic" w:hAnsi="Century Gothic"/>
                <w:sz w:val="20"/>
                <w:szCs w:val="20"/>
                <w:lang w:val="fr-FR"/>
              </w:rPr>
            </w:pPr>
            <w:r w:rsidRPr="000169D7">
              <w:rPr>
                <w:rFonts w:ascii="Century Gothic" w:hAnsi="Century Gothic"/>
                <w:sz w:val="20"/>
                <w:szCs w:val="20"/>
                <w:lang w:val="fr-FR"/>
              </w:rPr>
              <w:t>Au plan de réalisations physiques, le taux de réalisation</w:t>
            </w:r>
            <w:r>
              <w:rPr>
                <w:rFonts w:ascii="Century Gothic" w:hAnsi="Century Gothic"/>
                <w:sz w:val="20"/>
                <w:szCs w:val="20"/>
                <w:lang w:val="fr-FR"/>
              </w:rPr>
              <w:t xml:space="preserve"> de la composante </w:t>
            </w:r>
            <w:r w:rsidRPr="000169D7">
              <w:rPr>
                <w:rFonts w:ascii="Century Gothic" w:hAnsi="Century Gothic"/>
                <w:sz w:val="20"/>
                <w:szCs w:val="20"/>
                <w:lang w:val="fr-FR"/>
              </w:rPr>
              <w:t>se chi</w:t>
            </w:r>
            <w:r>
              <w:rPr>
                <w:rFonts w:ascii="Century Gothic" w:hAnsi="Century Gothic"/>
                <w:sz w:val="20"/>
                <w:szCs w:val="20"/>
                <w:lang w:val="fr-FR"/>
              </w:rPr>
              <w:t>ffre à</w:t>
            </w:r>
            <w:r w:rsidRPr="000169D7">
              <w:rPr>
                <w:rFonts w:ascii="Century Gothic" w:hAnsi="Century Gothic"/>
                <w:sz w:val="20"/>
                <w:szCs w:val="20"/>
                <w:lang w:val="fr-FR"/>
              </w:rPr>
              <w:t xml:space="preserve"> </w:t>
            </w:r>
            <w:r>
              <w:rPr>
                <w:rFonts w:ascii="Century Gothic" w:hAnsi="Century Gothic"/>
                <w:sz w:val="20"/>
                <w:szCs w:val="20"/>
                <w:lang w:val="fr-FR"/>
              </w:rPr>
              <w:t>plus de 90</w:t>
            </w:r>
            <w:r w:rsidRPr="006E43A2">
              <w:rPr>
                <w:rFonts w:ascii="Century Gothic" w:hAnsi="Century Gothic"/>
                <w:sz w:val="20"/>
                <w:szCs w:val="20"/>
                <w:lang w:val="fr-FR"/>
              </w:rPr>
              <w:t>%</w:t>
            </w:r>
            <w:r w:rsidRPr="000169D7">
              <w:rPr>
                <w:rFonts w:ascii="Century Gothic" w:hAnsi="Century Gothic"/>
                <w:sz w:val="20"/>
                <w:szCs w:val="20"/>
                <w:lang w:val="fr-FR"/>
              </w:rPr>
              <w:t xml:space="preserve">. Au vu ce taux élevé, on peut en déduire </w:t>
            </w:r>
            <w:r w:rsidR="005F07E7" w:rsidRPr="000169D7">
              <w:rPr>
                <w:rFonts w:ascii="Century Gothic" w:hAnsi="Century Gothic"/>
                <w:sz w:val="20"/>
                <w:szCs w:val="20"/>
                <w:lang w:val="fr-FR"/>
              </w:rPr>
              <w:t>qu</w:t>
            </w:r>
            <w:r w:rsidR="005F07E7">
              <w:rPr>
                <w:rFonts w:ascii="Century Gothic" w:hAnsi="Century Gothic"/>
                <w:sz w:val="20"/>
                <w:szCs w:val="20"/>
                <w:lang w:val="fr-FR"/>
              </w:rPr>
              <w:t>’au</w:t>
            </w:r>
            <w:r>
              <w:rPr>
                <w:rFonts w:ascii="Century Gothic" w:hAnsi="Century Gothic"/>
                <w:sz w:val="20"/>
                <w:szCs w:val="20"/>
                <w:lang w:val="fr-FR"/>
              </w:rPr>
              <w:t xml:space="preserve"> même titre que</w:t>
            </w:r>
            <w:r w:rsidR="005F07E7">
              <w:rPr>
                <w:rFonts w:ascii="Century Gothic" w:hAnsi="Century Gothic"/>
                <w:sz w:val="20"/>
                <w:szCs w:val="20"/>
                <w:lang w:val="fr-FR"/>
              </w:rPr>
              <w:t xml:space="preserve"> </w:t>
            </w:r>
            <w:r>
              <w:rPr>
                <w:rFonts w:ascii="Century Gothic" w:hAnsi="Century Gothic"/>
                <w:sz w:val="20"/>
                <w:szCs w:val="20"/>
                <w:lang w:val="fr-FR"/>
              </w:rPr>
              <w:t xml:space="preserve">la composante 1, </w:t>
            </w:r>
            <w:r w:rsidRPr="000169D7">
              <w:rPr>
                <w:rFonts w:ascii="Century Gothic" w:hAnsi="Century Gothic"/>
                <w:sz w:val="20"/>
                <w:szCs w:val="20"/>
                <w:lang w:val="fr-FR"/>
              </w:rPr>
              <w:t xml:space="preserve"> le programme a </w:t>
            </w:r>
            <w:r w:rsidR="005F07E7">
              <w:rPr>
                <w:rFonts w:ascii="Century Gothic" w:hAnsi="Century Gothic"/>
                <w:sz w:val="20"/>
                <w:szCs w:val="20"/>
                <w:lang w:val="fr-FR"/>
              </w:rPr>
              <w:t>déployé</w:t>
            </w:r>
            <w:r w:rsidRPr="000169D7">
              <w:rPr>
                <w:rFonts w:ascii="Century Gothic" w:hAnsi="Century Gothic"/>
                <w:sz w:val="20"/>
                <w:szCs w:val="20"/>
                <w:lang w:val="fr-FR"/>
              </w:rPr>
              <w:t xml:space="preserve"> </w:t>
            </w:r>
            <w:r w:rsidR="005F07E7">
              <w:rPr>
                <w:rFonts w:ascii="Century Gothic" w:hAnsi="Century Gothic"/>
                <w:sz w:val="20"/>
                <w:szCs w:val="20"/>
                <w:lang w:val="fr-FR"/>
              </w:rPr>
              <w:t>aussi</w:t>
            </w:r>
            <w:r w:rsidRPr="000169D7">
              <w:rPr>
                <w:rFonts w:ascii="Century Gothic" w:hAnsi="Century Gothic"/>
                <w:sz w:val="20"/>
                <w:szCs w:val="20"/>
                <w:lang w:val="fr-FR"/>
              </w:rPr>
              <w:t xml:space="preserve"> ses efforts à la réalisation des activités liées à </w:t>
            </w:r>
            <w:r w:rsidR="005F07E7">
              <w:rPr>
                <w:rFonts w:ascii="Century Gothic" w:hAnsi="Century Gothic"/>
                <w:sz w:val="20"/>
                <w:szCs w:val="20"/>
                <w:lang w:val="fr-FR"/>
              </w:rPr>
              <w:t>cette</w:t>
            </w:r>
            <w:r w:rsidRPr="000169D7">
              <w:rPr>
                <w:rFonts w:ascii="Century Gothic" w:hAnsi="Century Gothic"/>
                <w:sz w:val="20"/>
                <w:szCs w:val="20"/>
                <w:lang w:val="fr-FR"/>
              </w:rPr>
              <w:t xml:space="preserve"> composante</w:t>
            </w:r>
            <w:r w:rsidR="005F07E7">
              <w:rPr>
                <w:rFonts w:ascii="Century Gothic" w:hAnsi="Century Gothic"/>
                <w:sz w:val="20"/>
                <w:szCs w:val="20"/>
                <w:lang w:val="fr-FR"/>
              </w:rPr>
              <w:t xml:space="preserve">. </w:t>
            </w:r>
            <w:r w:rsidR="00A1346D">
              <w:rPr>
                <w:rFonts w:ascii="Century Gothic" w:hAnsi="Century Gothic"/>
                <w:sz w:val="20"/>
                <w:szCs w:val="20"/>
                <w:lang w:val="fr-FR"/>
              </w:rPr>
              <w:t>Notons qu’à</w:t>
            </w:r>
            <w:r w:rsidR="008C54A9" w:rsidRPr="008C54A9">
              <w:rPr>
                <w:rFonts w:ascii="Century Gothic" w:hAnsi="Century Gothic"/>
                <w:sz w:val="20"/>
                <w:szCs w:val="20"/>
                <w:lang w:val="fr-FR" w:eastAsia="fr-FR"/>
              </w:rPr>
              <w:t xml:space="preserve"> travers de son exécution, le Programme puisse jouer leur rôle de levier pour le développement des MER et  puisse toucher directement les cibles qui sont les MER</w:t>
            </w:r>
            <w:r w:rsidR="005F07E7">
              <w:rPr>
                <w:rFonts w:ascii="Century Gothic" w:hAnsi="Century Gothic"/>
                <w:sz w:val="20"/>
                <w:szCs w:val="20"/>
                <w:lang w:val="fr-FR" w:eastAsia="fr-FR"/>
              </w:rPr>
              <w:t>.</w:t>
            </w:r>
            <w:r w:rsidR="00A1346D">
              <w:rPr>
                <w:rFonts w:ascii="Century Gothic" w:hAnsi="Century Gothic"/>
                <w:sz w:val="20"/>
                <w:szCs w:val="20"/>
                <w:lang w:val="fr-FR" w:eastAsia="fr-FR"/>
              </w:rPr>
              <w:t xml:space="preserve"> Mais </w:t>
            </w:r>
            <w:r w:rsidR="00A1346D" w:rsidRPr="000169D7">
              <w:rPr>
                <w:rFonts w:ascii="Century Gothic" w:hAnsi="Century Gothic"/>
                <w:sz w:val="20"/>
                <w:szCs w:val="20"/>
                <w:lang w:val="fr-FR"/>
              </w:rPr>
              <w:t xml:space="preserve">par rapport au calendrier initial, la </w:t>
            </w:r>
            <w:r w:rsidR="00A1346D">
              <w:rPr>
                <w:rFonts w:ascii="Century Gothic" w:hAnsi="Century Gothic"/>
                <w:sz w:val="20"/>
                <w:szCs w:val="20"/>
                <w:lang w:val="fr-FR"/>
              </w:rPr>
              <w:t xml:space="preserve">mise en œuvre </w:t>
            </w:r>
            <w:r w:rsidR="00A1346D" w:rsidRPr="000169D7">
              <w:rPr>
                <w:rFonts w:ascii="Century Gothic" w:hAnsi="Century Gothic"/>
                <w:sz w:val="20"/>
                <w:szCs w:val="20"/>
                <w:lang w:val="fr-FR"/>
              </w:rPr>
              <w:t xml:space="preserve">de la composante a connu </w:t>
            </w:r>
            <w:r w:rsidR="00A1346D">
              <w:rPr>
                <w:rFonts w:ascii="Century Gothic" w:hAnsi="Century Gothic"/>
                <w:sz w:val="20"/>
                <w:szCs w:val="20"/>
                <w:lang w:val="fr-FR"/>
              </w:rPr>
              <w:t xml:space="preserve">aussi </w:t>
            </w:r>
            <w:r w:rsidR="00A1346D" w:rsidRPr="000169D7">
              <w:rPr>
                <w:rFonts w:ascii="Century Gothic" w:hAnsi="Century Gothic"/>
                <w:sz w:val="20"/>
                <w:szCs w:val="20"/>
                <w:lang w:val="fr-FR"/>
              </w:rPr>
              <w:t xml:space="preserve">des retards accumulés au début de l’année suite à la crise politique.  </w:t>
            </w:r>
          </w:p>
          <w:p w:rsidR="008C54A9" w:rsidRPr="000169D7" w:rsidRDefault="008C54A9" w:rsidP="000169D7">
            <w:pPr>
              <w:rPr>
                <w:rFonts w:ascii="Century Gothic" w:hAnsi="Century Gothic"/>
                <w:sz w:val="20"/>
                <w:szCs w:val="20"/>
                <w:lang w:val="fr-FR"/>
              </w:rPr>
            </w:pPr>
          </w:p>
          <w:p w:rsidR="000169D7" w:rsidRPr="000169D7" w:rsidRDefault="000169D7" w:rsidP="000169D7">
            <w:pPr>
              <w:jc w:val="both"/>
              <w:rPr>
                <w:rFonts w:ascii="Century Gothic" w:hAnsi="Century Gothic" w:cs="Arial"/>
                <w:iCs/>
                <w:color w:val="000000"/>
                <w:sz w:val="20"/>
                <w:szCs w:val="20"/>
                <w:lang w:val="fr-FR" w:eastAsia="fr-FR"/>
              </w:rPr>
            </w:pPr>
            <w:r w:rsidRPr="000169D7">
              <w:rPr>
                <w:rFonts w:ascii="Century Gothic" w:hAnsi="Century Gothic"/>
                <w:sz w:val="20"/>
                <w:szCs w:val="20"/>
                <w:lang w:val="fr-FR"/>
              </w:rPr>
              <w:t xml:space="preserve">Sous composante 21 : </w:t>
            </w:r>
            <w:r w:rsidRPr="000169D7">
              <w:rPr>
                <w:rFonts w:ascii="Century Gothic" w:hAnsi="Century Gothic" w:cs="Arial"/>
                <w:iCs/>
                <w:color w:val="000000"/>
                <w:sz w:val="20"/>
                <w:szCs w:val="20"/>
                <w:lang w:val="fr-FR" w:eastAsia="fr-FR"/>
              </w:rPr>
              <w:t>SERVICES D’APPUI ADAPTES AUX MICRO-ENTREPRISES RURALES EXISTANTES</w:t>
            </w:r>
          </w:p>
          <w:p w:rsidR="000169D7" w:rsidRPr="000169D7" w:rsidRDefault="000169D7" w:rsidP="000169D7">
            <w:pPr>
              <w:rPr>
                <w:rFonts w:ascii="Century Gothic" w:hAnsi="Century Gothic"/>
                <w:sz w:val="20"/>
                <w:szCs w:val="20"/>
                <w:lang w:val="fr-FR"/>
              </w:rPr>
            </w:pPr>
            <w:r w:rsidRPr="000169D7">
              <w:rPr>
                <w:rFonts w:ascii="Century Gothic" w:hAnsi="Century Gothic"/>
                <w:sz w:val="20"/>
                <w:szCs w:val="20"/>
                <w:lang w:val="fr-FR"/>
              </w:rPr>
              <w:t xml:space="preserve"> </w:t>
            </w:r>
          </w:p>
          <w:p w:rsidR="000169D7" w:rsidRDefault="000169D7" w:rsidP="006247B1">
            <w:pPr>
              <w:pStyle w:val="Paragraphedeliste"/>
              <w:numPr>
                <w:ilvl w:val="0"/>
                <w:numId w:val="10"/>
              </w:numPr>
              <w:spacing w:after="0" w:line="240" w:lineRule="auto"/>
              <w:ind w:left="426"/>
              <w:jc w:val="both"/>
              <w:rPr>
                <w:rFonts w:ascii="Century Gothic" w:eastAsia="Times New Roman" w:hAnsi="Century Gothic"/>
                <w:sz w:val="20"/>
                <w:szCs w:val="20"/>
              </w:rPr>
            </w:pPr>
            <w:r w:rsidRPr="00576C5B">
              <w:rPr>
                <w:rFonts w:ascii="Century Gothic" w:eastAsia="Times New Roman" w:hAnsi="Century Gothic"/>
                <w:sz w:val="20"/>
                <w:szCs w:val="20"/>
              </w:rPr>
              <w:t>432</w:t>
            </w:r>
            <w:r w:rsidRPr="00952681">
              <w:rPr>
                <w:rFonts w:ascii="Century Gothic" w:eastAsia="Times New Roman" w:hAnsi="Century Gothic"/>
                <w:sz w:val="20"/>
                <w:szCs w:val="20"/>
              </w:rPr>
              <w:t xml:space="preserve"> PSE locaux</w:t>
            </w:r>
            <w:r w:rsidR="00DD3D9B">
              <w:rPr>
                <w:rFonts w:ascii="Century Gothic" w:eastAsia="Times New Roman" w:hAnsi="Century Gothic"/>
                <w:sz w:val="20"/>
                <w:szCs w:val="20"/>
              </w:rPr>
              <w:t xml:space="preserve"> en services d’appui aux MER et </w:t>
            </w:r>
            <w:r w:rsidR="00071E07">
              <w:rPr>
                <w:rFonts w:ascii="Century Gothic" w:eastAsia="Times New Roman" w:hAnsi="Century Gothic"/>
                <w:sz w:val="20"/>
                <w:szCs w:val="20"/>
              </w:rPr>
              <w:t xml:space="preserve">plus de 200 producteurs leader futur PSE en technique qualité </w:t>
            </w:r>
            <w:r w:rsidRPr="00952681">
              <w:rPr>
                <w:rFonts w:ascii="Century Gothic" w:eastAsia="Times New Roman" w:hAnsi="Century Gothic"/>
                <w:sz w:val="20"/>
                <w:szCs w:val="20"/>
              </w:rPr>
              <w:t xml:space="preserve"> sont identifiés, parmi eux le tableau ci-dessous résume le nombre des PSE formés et agréés par thème :</w:t>
            </w:r>
          </w:p>
          <w:p w:rsidR="00A1346D" w:rsidRPr="00952681" w:rsidRDefault="00A1346D" w:rsidP="00A1346D">
            <w:pPr>
              <w:pStyle w:val="Paragraphedeliste"/>
              <w:spacing w:after="0" w:line="240" w:lineRule="auto"/>
              <w:ind w:left="426"/>
              <w:jc w:val="both"/>
              <w:rPr>
                <w:rFonts w:ascii="Century Gothic" w:eastAsia="Times New Roman" w:hAnsi="Century Gothic"/>
                <w:sz w:val="20"/>
                <w:szCs w:val="20"/>
              </w:rPr>
            </w:pPr>
          </w:p>
          <w:p w:rsidR="000169D7" w:rsidRPr="000169D7" w:rsidRDefault="000169D7" w:rsidP="000169D7">
            <w:pPr>
              <w:tabs>
                <w:tab w:val="left" w:pos="1008"/>
              </w:tabs>
              <w:ind w:left="66"/>
              <w:jc w:val="both"/>
              <w:rPr>
                <w:rFonts w:ascii="Century Gothic" w:hAnsi="Century Gothic"/>
                <w:sz w:val="20"/>
                <w:szCs w:val="20"/>
                <w:lang w:val="fr-FR"/>
              </w:rPr>
            </w:pPr>
          </w:p>
          <w:tbl>
            <w:tblPr>
              <w:tblW w:w="0" w:type="auto"/>
              <w:jc w:val="center"/>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23"/>
              <w:gridCol w:w="1080"/>
              <w:gridCol w:w="1134"/>
              <w:gridCol w:w="992"/>
              <w:gridCol w:w="1134"/>
              <w:gridCol w:w="1134"/>
              <w:gridCol w:w="1134"/>
            </w:tblGrid>
            <w:tr w:rsidR="000169D7" w:rsidRPr="00CC6B8D" w:rsidTr="002E155C">
              <w:trPr>
                <w:jc w:val="center"/>
              </w:trPr>
              <w:tc>
                <w:tcPr>
                  <w:tcW w:w="2223" w:type="dxa"/>
                  <w:vMerge w:val="restart"/>
                  <w:shd w:val="clear" w:color="auto" w:fill="F79646"/>
                  <w:vAlign w:val="center"/>
                </w:tcPr>
                <w:p w:rsidR="000169D7" w:rsidRPr="000169D7" w:rsidRDefault="000169D7" w:rsidP="000169D7">
                  <w:pPr>
                    <w:tabs>
                      <w:tab w:val="left" w:pos="1008"/>
                    </w:tabs>
                    <w:ind w:left="284" w:hanging="284"/>
                    <w:jc w:val="center"/>
                    <w:rPr>
                      <w:rFonts w:ascii="Century Gothic" w:hAnsi="Century Gothic"/>
                      <w:b/>
                      <w:sz w:val="20"/>
                      <w:szCs w:val="20"/>
                    </w:rPr>
                  </w:pPr>
                  <w:r w:rsidRPr="000169D7">
                    <w:rPr>
                      <w:rFonts w:ascii="Century Gothic" w:hAnsi="Century Gothic"/>
                      <w:b/>
                      <w:sz w:val="20"/>
                      <w:szCs w:val="20"/>
                    </w:rPr>
                    <w:t>Thèmes</w:t>
                  </w:r>
                </w:p>
              </w:tc>
              <w:tc>
                <w:tcPr>
                  <w:tcW w:w="3206" w:type="dxa"/>
                  <w:gridSpan w:val="3"/>
                  <w:shd w:val="clear" w:color="auto" w:fill="F79646"/>
                  <w:vAlign w:val="center"/>
                </w:tcPr>
                <w:p w:rsidR="000169D7" w:rsidRPr="000169D7" w:rsidRDefault="000169D7" w:rsidP="000169D7">
                  <w:pPr>
                    <w:tabs>
                      <w:tab w:val="left" w:pos="1008"/>
                    </w:tabs>
                    <w:ind w:left="284" w:hanging="284"/>
                    <w:jc w:val="center"/>
                    <w:rPr>
                      <w:rFonts w:ascii="Century Gothic" w:hAnsi="Century Gothic"/>
                      <w:b/>
                      <w:sz w:val="20"/>
                      <w:szCs w:val="20"/>
                    </w:rPr>
                  </w:pPr>
                  <w:r w:rsidRPr="000169D7">
                    <w:rPr>
                      <w:rFonts w:ascii="Century Gothic" w:hAnsi="Century Gothic"/>
                      <w:b/>
                      <w:sz w:val="20"/>
                      <w:szCs w:val="20"/>
                    </w:rPr>
                    <w:t>Formés</w:t>
                  </w:r>
                </w:p>
              </w:tc>
              <w:tc>
                <w:tcPr>
                  <w:tcW w:w="3402" w:type="dxa"/>
                  <w:gridSpan w:val="3"/>
                  <w:shd w:val="clear" w:color="auto" w:fill="F79646"/>
                  <w:vAlign w:val="center"/>
                </w:tcPr>
                <w:p w:rsidR="000169D7" w:rsidRPr="000169D7" w:rsidRDefault="000169D7" w:rsidP="000169D7">
                  <w:pPr>
                    <w:tabs>
                      <w:tab w:val="left" w:pos="1008"/>
                    </w:tabs>
                    <w:ind w:left="284" w:hanging="284"/>
                    <w:jc w:val="center"/>
                    <w:rPr>
                      <w:rFonts w:ascii="Century Gothic" w:hAnsi="Century Gothic"/>
                      <w:b/>
                      <w:sz w:val="20"/>
                      <w:szCs w:val="20"/>
                    </w:rPr>
                  </w:pPr>
                  <w:r w:rsidRPr="000169D7">
                    <w:rPr>
                      <w:rFonts w:ascii="Century Gothic" w:hAnsi="Century Gothic"/>
                      <w:b/>
                      <w:sz w:val="20"/>
                      <w:szCs w:val="20"/>
                    </w:rPr>
                    <w:t>Agréés</w:t>
                  </w:r>
                </w:p>
              </w:tc>
            </w:tr>
            <w:tr w:rsidR="000169D7" w:rsidRPr="00CC6B8D" w:rsidTr="002E155C">
              <w:trPr>
                <w:jc w:val="center"/>
              </w:trPr>
              <w:tc>
                <w:tcPr>
                  <w:tcW w:w="2223" w:type="dxa"/>
                  <w:vMerge/>
                  <w:shd w:val="clear" w:color="auto" w:fill="F79646"/>
                  <w:vAlign w:val="center"/>
                </w:tcPr>
                <w:p w:rsidR="000169D7" w:rsidRPr="000169D7" w:rsidRDefault="000169D7" w:rsidP="000169D7">
                  <w:pPr>
                    <w:tabs>
                      <w:tab w:val="left" w:pos="1008"/>
                    </w:tabs>
                    <w:ind w:left="284" w:hanging="284"/>
                    <w:jc w:val="center"/>
                    <w:rPr>
                      <w:rFonts w:ascii="Century Gothic" w:hAnsi="Century Gothic"/>
                      <w:sz w:val="20"/>
                      <w:szCs w:val="20"/>
                    </w:rPr>
                  </w:pPr>
                </w:p>
              </w:tc>
              <w:tc>
                <w:tcPr>
                  <w:tcW w:w="1080" w:type="dxa"/>
                  <w:shd w:val="clear" w:color="auto" w:fill="F79646"/>
                  <w:vAlign w:val="center"/>
                </w:tcPr>
                <w:p w:rsidR="000169D7" w:rsidRPr="00F15157" w:rsidRDefault="000169D7" w:rsidP="000169D7">
                  <w:pPr>
                    <w:ind w:left="284" w:hanging="284"/>
                    <w:jc w:val="center"/>
                    <w:rPr>
                      <w:rFonts w:ascii="Century Gothic" w:hAnsi="Century Gothic"/>
                      <w:b/>
                      <w:sz w:val="16"/>
                      <w:szCs w:val="16"/>
                    </w:rPr>
                  </w:pPr>
                  <w:r w:rsidRPr="00F15157">
                    <w:rPr>
                      <w:rFonts w:ascii="Century Gothic" w:hAnsi="Century Gothic"/>
                      <w:b/>
                      <w:sz w:val="16"/>
                      <w:szCs w:val="16"/>
                    </w:rPr>
                    <w:t>Semestre 1</w:t>
                  </w:r>
                </w:p>
              </w:tc>
              <w:tc>
                <w:tcPr>
                  <w:tcW w:w="1134" w:type="dxa"/>
                  <w:shd w:val="clear" w:color="auto" w:fill="F79646"/>
                  <w:vAlign w:val="center"/>
                </w:tcPr>
                <w:p w:rsidR="000169D7" w:rsidRPr="00F15157" w:rsidRDefault="000169D7" w:rsidP="000169D7">
                  <w:pPr>
                    <w:ind w:left="284" w:hanging="284"/>
                    <w:jc w:val="center"/>
                    <w:rPr>
                      <w:rFonts w:ascii="Century Gothic" w:hAnsi="Century Gothic"/>
                      <w:b/>
                      <w:sz w:val="16"/>
                      <w:szCs w:val="16"/>
                    </w:rPr>
                  </w:pPr>
                  <w:r w:rsidRPr="00F15157">
                    <w:rPr>
                      <w:rFonts w:ascii="Century Gothic" w:hAnsi="Century Gothic"/>
                      <w:b/>
                      <w:sz w:val="16"/>
                      <w:szCs w:val="16"/>
                    </w:rPr>
                    <w:t>Semestre 2</w:t>
                  </w:r>
                </w:p>
              </w:tc>
              <w:tc>
                <w:tcPr>
                  <w:tcW w:w="992" w:type="dxa"/>
                  <w:shd w:val="clear" w:color="auto" w:fill="F79646"/>
                  <w:vAlign w:val="center"/>
                </w:tcPr>
                <w:p w:rsidR="000169D7" w:rsidRPr="00F15157" w:rsidRDefault="000169D7" w:rsidP="000169D7">
                  <w:pPr>
                    <w:tabs>
                      <w:tab w:val="left" w:pos="1008"/>
                    </w:tabs>
                    <w:ind w:left="284" w:hanging="284"/>
                    <w:jc w:val="center"/>
                    <w:rPr>
                      <w:rFonts w:ascii="Century Gothic" w:hAnsi="Century Gothic"/>
                      <w:b/>
                      <w:sz w:val="16"/>
                      <w:szCs w:val="16"/>
                    </w:rPr>
                  </w:pPr>
                  <w:r w:rsidRPr="00F15157">
                    <w:rPr>
                      <w:rFonts w:ascii="Century Gothic" w:hAnsi="Century Gothic"/>
                      <w:b/>
                      <w:sz w:val="16"/>
                      <w:szCs w:val="16"/>
                    </w:rPr>
                    <w:t>Total</w:t>
                  </w:r>
                </w:p>
              </w:tc>
              <w:tc>
                <w:tcPr>
                  <w:tcW w:w="1134" w:type="dxa"/>
                  <w:shd w:val="clear" w:color="auto" w:fill="F79646"/>
                  <w:vAlign w:val="center"/>
                </w:tcPr>
                <w:p w:rsidR="000169D7" w:rsidRPr="00F15157" w:rsidRDefault="000169D7" w:rsidP="000169D7">
                  <w:pPr>
                    <w:ind w:left="284" w:hanging="284"/>
                    <w:jc w:val="center"/>
                    <w:rPr>
                      <w:rFonts w:ascii="Century Gothic" w:hAnsi="Century Gothic"/>
                      <w:b/>
                      <w:sz w:val="16"/>
                      <w:szCs w:val="16"/>
                    </w:rPr>
                  </w:pPr>
                  <w:r w:rsidRPr="00F15157">
                    <w:rPr>
                      <w:rFonts w:ascii="Century Gothic" w:hAnsi="Century Gothic"/>
                      <w:b/>
                      <w:sz w:val="16"/>
                      <w:szCs w:val="16"/>
                    </w:rPr>
                    <w:t>Semestre 1</w:t>
                  </w:r>
                </w:p>
              </w:tc>
              <w:tc>
                <w:tcPr>
                  <w:tcW w:w="1134" w:type="dxa"/>
                  <w:shd w:val="clear" w:color="auto" w:fill="F79646"/>
                  <w:vAlign w:val="center"/>
                </w:tcPr>
                <w:p w:rsidR="000169D7" w:rsidRPr="00F15157" w:rsidRDefault="000169D7" w:rsidP="000169D7">
                  <w:pPr>
                    <w:ind w:left="284" w:hanging="284"/>
                    <w:jc w:val="center"/>
                    <w:rPr>
                      <w:rFonts w:ascii="Century Gothic" w:hAnsi="Century Gothic"/>
                      <w:b/>
                      <w:sz w:val="16"/>
                      <w:szCs w:val="16"/>
                    </w:rPr>
                  </w:pPr>
                  <w:r w:rsidRPr="00F15157">
                    <w:rPr>
                      <w:rFonts w:ascii="Century Gothic" w:hAnsi="Century Gothic"/>
                      <w:b/>
                      <w:sz w:val="16"/>
                      <w:szCs w:val="16"/>
                    </w:rPr>
                    <w:t>Semestre 2</w:t>
                  </w:r>
                </w:p>
              </w:tc>
              <w:tc>
                <w:tcPr>
                  <w:tcW w:w="1134" w:type="dxa"/>
                  <w:shd w:val="clear" w:color="auto" w:fill="F79646"/>
                  <w:vAlign w:val="center"/>
                </w:tcPr>
                <w:p w:rsidR="000169D7" w:rsidRPr="00F15157" w:rsidRDefault="000169D7" w:rsidP="000169D7">
                  <w:pPr>
                    <w:tabs>
                      <w:tab w:val="left" w:pos="1008"/>
                    </w:tabs>
                    <w:ind w:left="284" w:hanging="284"/>
                    <w:jc w:val="center"/>
                    <w:rPr>
                      <w:rFonts w:ascii="Century Gothic" w:hAnsi="Century Gothic"/>
                      <w:b/>
                      <w:sz w:val="16"/>
                      <w:szCs w:val="16"/>
                    </w:rPr>
                  </w:pPr>
                  <w:r w:rsidRPr="00F15157">
                    <w:rPr>
                      <w:rFonts w:ascii="Century Gothic" w:hAnsi="Century Gothic"/>
                      <w:b/>
                      <w:sz w:val="16"/>
                      <w:szCs w:val="16"/>
                    </w:rPr>
                    <w:t>Total</w:t>
                  </w:r>
                </w:p>
              </w:tc>
            </w:tr>
            <w:tr w:rsidR="000169D7" w:rsidRPr="00CC6B8D" w:rsidTr="00EE7F20">
              <w:trPr>
                <w:jc w:val="center"/>
              </w:trPr>
              <w:tc>
                <w:tcPr>
                  <w:tcW w:w="2223" w:type="dxa"/>
                  <w:vAlign w:val="center"/>
                </w:tcPr>
                <w:p w:rsidR="000169D7" w:rsidRPr="000169D7" w:rsidRDefault="000169D7" w:rsidP="00F15157">
                  <w:pPr>
                    <w:tabs>
                      <w:tab w:val="left" w:pos="1008"/>
                    </w:tabs>
                    <w:rPr>
                      <w:rFonts w:ascii="Century Gothic" w:hAnsi="Century Gothic"/>
                      <w:sz w:val="20"/>
                      <w:szCs w:val="20"/>
                    </w:rPr>
                  </w:pPr>
                  <w:r w:rsidRPr="000169D7">
                    <w:rPr>
                      <w:rFonts w:ascii="Century Gothic" w:hAnsi="Century Gothic"/>
                      <w:sz w:val="20"/>
                      <w:szCs w:val="20"/>
                    </w:rPr>
                    <w:t>Diagnostic</w:t>
                  </w:r>
                </w:p>
              </w:tc>
              <w:tc>
                <w:tcPr>
                  <w:tcW w:w="1080" w:type="dxa"/>
                  <w:vAlign w:val="center"/>
                </w:tcPr>
                <w:p w:rsidR="000169D7" w:rsidRPr="000169D7" w:rsidRDefault="002E540C" w:rsidP="00EE7F20">
                  <w:pPr>
                    <w:tabs>
                      <w:tab w:val="left" w:pos="1008"/>
                    </w:tabs>
                    <w:ind w:left="284" w:hanging="284"/>
                    <w:jc w:val="center"/>
                    <w:rPr>
                      <w:rFonts w:ascii="Century Gothic" w:hAnsi="Century Gothic"/>
                      <w:sz w:val="20"/>
                      <w:szCs w:val="20"/>
                    </w:rPr>
                  </w:pPr>
                  <w:r>
                    <w:rPr>
                      <w:rFonts w:ascii="Century Gothic" w:hAnsi="Century Gothic"/>
                      <w:sz w:val="20"/>
                      <w:szCs w:val="20"/>
                    </w:rPr>
                    <w:t>28</w:t>
                  </w:r>
                </w:p>
              </w:tc>
              <w:tc>
                <w:tcPr>
                  <w:tcW w:w="1134" w:type="dxa"/>
                  <w:vAlign w:val="center"/>
                </w:tcPr>
                <w:p w:rsidR="000169D7" w:rsidRPr="000169D7" w:rsidRDefault="00641272" w:rsidP="00EE7F20">
                  <w:pPr>
                    <w:tabs>
                      <w:tab w:val="left" w:pos="1008"/>
                    </w:tabs>
                    <w:ind w:left="284" w:hanging="284"/>
                    <w:jc w:val="center"/>
                    <w:rPr>
                      <w:rFonts w:ascii="Century Gothic" w:hAnsi="Century Gothic"/>
                      <w:sz w:val="20"/>
                      <w:szCs w:val="20"/>
                    </w:rPr>
                  </w:pPr>
                  <w:r>
                    <w:rPr>
                      <w:rFonts w:ascii="Century Gothic" w:hAnsi="Century Gothic"/>
                      <w:sz w:val="20"/>
                      <w:szCs w:val="20"/>
                    </w:rPr>
                    <w:t>42</w:t>
                  </w:r>
                </w:p>
              </w:tc>
              <w:tc>
                <w:tcPr>
                  <w:tcW w:w="992" w:type="dxa"/>
                  <w:vAlign w:val="center"/>
                </w:tcPr>
                <w:p w:rsidR="000169D7" w:rsidRPr="000169D7" w:rsidRDefault="00071E07" w:rsidP="00EE7F20">
                  <w:pPr>
                    <w:tabs>
                      <w:tab w:val="left" w:pos="1008"/>
                    </w:tabs>
                    <w:ind w:left="284" w:hanging="284"/>
                    <w:jc w:val="center"/>
                    <w:rPr>
                      <w:rFonts w:ascii="Century Gothic" w:hAnsi="Century Gothic"/>
                      <w:sz w:val="20"/>
                      <w:szCs w:val="20"/>
                    </w:rPr>
                  </w:pPr>
                  <w:r>
                    <w:rPr>
                      <w:rFonts w:ascii="Century Gothic" w:hAnsi="Century Gothic"/>
                      <w:sz w:val="20"/>
                      <w:szCs w:val="20"/>
                    </w:rPr>
                    <w:t>70</w:t>
                  </w:r>
                </w:p>
              </w:tc>
              <w:tc>
                <w:tcPr>
                  <w:tcW w:w="1134" w:type="dxa"/>
                  <w:vAlign w:val="center"/>
                </w:tcPr>
                <w:p w:rsidR="000169D7" w:rsidRPr="000169D7" w:rsidRDefault="00A6117E" w:rsidP="00EE7F20">
                  <w:pPr>
                    <w:tabs>
                      <w:tab w:val="left" w:pos="1008"/>
                    </w:tabs>
                    <w:ind w:left="284" w:hanging="284"/>
                    <w:jc w:val="center"/>
                    <w:rPr>
                      <w:rFonts w:ascii="Century Gothic" w:hAnsi="Century Gothic"/>
                      <w:sz w:val="20"/>
                      <w:szCs w:val="20"/>
                    </w:rPr>
                  </w:pPr>
                  <w:r>
                    <w:rPr>
                      <w:rFonts w:ascii="Century Gothic" w:hAnsi="Century Gothic"/>
                      <w:sz w:val="20"/>
                      <w:szCs w:val="20"/>
                    </w:rPr>
                    <w:t>-</w:t>
                  </w:r>
                </w:p>
              </w:tc>
              <w:tc>
                <w:tcPr>
                  <w:tcW w:w="1134" w:type="dxa"/>
                  <w:vAlign w:val="center"/>
                </w:tcPr>
                <w:p w:rsidR="000169D7" w:rsidRPr="000169D7" w:rsidRDefault="005F07E7" w:rsidP="00EE7F20">
                  <w:pPr>
                    <w:tabs>
                      <w:tab w:val="left" w:pos="1008"/>
                    </w:tabs>
                    <w:ind w:left="284" w:hanging="284"/>
                    <w:jc w:val="center"/>
                    <w:rPr>
                      <w:rFonts w:ascii="Century Gothic" w:hAnsi="Century Gothic"/>
                      <w:sz w:val="20"/>
                      <w:szCs w:val="20"/>
                    </w:rPr>
                  </w:pPr>
                  <w:r>
                    <w:rPr>
                      <w:rFonts w:ascii="Century Gothic" w:hAnsi="Century Gothic"/>
                      <w:sz w:val="20"/>
                      <w:szCs w:val="20"/>
                    </w:rPr>
                    <w:t>-</w:t>
                  </w:r>
                </w:p>
              </w:tc>
              <w:tc>
                <w:tcPr>
                  <w:tcW w:w="1134" w:type="dxa"/>
                  <w:vAlign w:val="center"/>
                </w:tcPr>
                <w:p w:rsidR="000169D7" w:rsidRPr="000169D7" w:rsidRDefault="005F07E7" w:rsidP="00EE7F20">
                  <w:pPr>
                    <w:tabs>
                      <w:tab w:val="left" w:pos="1008"/>
                    </w:tabs>
                    <w:ind w:left="284" w:hanging="284"/>
                    <w:jc w:val="center"/>
                    <w:rPr>
                      <w:rFonts w:ascii="Century Gothic" w:hAnsi="Century Gothic"/>
                      <w:sz w:val="20"/>
                      <w:szCs w:val="20"/>
                    </w:rPr>
                  </w:pPr>
                  <w:r>
                    <w:rPr>
                      <w:rFonts w:ascii="Century Gothic" w:hAnsi="Century Gothic"/>
                      <w:sz w:val="20"/>
                      <w:szCs w:val="20"/>
                    </w:rPr>
                    <w:t>-</w:t>
                  </w:r>
                </w:p>
              </w:tc>
            </w:tr>
            <w:tr w:rsidR="000169D7" w:rsidRPr="00CC6B8D" w:rsidTr="00EE7F20">
              <w:trPr>
                <w:jc w:val="center"/>
              </w:trPr>
              <w:tc>
                <w:tcPr>
                  <w:tcW w:w="2223" w:type="dxa"/>
                  <w:vAlign w:val="center"/>
                </w:tcPr>
                <w:p w:rsidR="000169D7" w:rsidRPr="000169D7" w:rsidRDefault="000169D7" w:rsidP="00F15157">
                  <w:pPr>
                    <w:tabs>
                      <w:tab w:val="left" w:pos="1008"/>
                    </w:tabs>
                    <w:rPr>
                      <w:rFonts w:ascii="Century Gothic" w:hAnsi="Century Gothic"/>
                      <w:sz w:val="20"/>
                      <w:szCs w:val="20"/>
                    </w:rPr>
                  </w:pPr>
                  <w:r w:rsidRPr="000169D7">
                    <w:rPr>
                      <w:rFonts w:ascii="Century Gothic" w:hAnsi="Century Gothic"/>
                      <w:sz w:val="20"/>
                      <w:szCs w:val="20"/>
                    </w:rPr>
                    <w:t>Technique et qualité</w:t>
                  </w:r>
                </w:p>
              </w:tc>
              <w:tc>
                <w:tcPr>
                  <w:tcW w:w="1080" w:type="dxa"/>
                  <w:vAlign w:val="center"/>
                </w:tcPr>
                <w:p w:rsidR="000169D7" w:rsidRPr="000169D7" w:rsidRDefault="002E540C" w:rsidP="00EE7F20">
                  <w:pPr>
                    <w:tabs>
                      <w:tab w:val="left" w:pos="1008"/>
                    </w:tabs>
                    <w:ind w:left="284" w:hanging="284"/>
                    <w:jc w:val="center"/>
                    <w:rPr>
                      <w:rFonts w:ascii="Century Gothic" w:hAnsi="Century Gothic"/>
                      <w:sz w:val="20"/>
                      <w:szCs w:val="20"/>
                    </w:rPr>
                  </w:pPr>
                  <w:r>
                    <w:rPr>
                      <w:rFonts w:ascii="Century Gothic" w:hAnsi="Century Gothic"/>
                      <w:sz w:val="20"/>
                      <w:szCs w:val="20"/>
                    </w:rPr>
                    <w:t>38</w:t>
                  </w:r>
                </w:p>
              </w:tc>
              <w:tc>
                <w:tcPr>
                  <w:tcW w:w="1134" w:type="dxa"/>
                  <w:vAlign w:val="center"/>
                </w:tcPr>
                <w:p w:rsidR="000169D7" w:rsidRPr="000169D7" w:rsidRDefault="00641272" w:rsidP="00EE7F20">
                  <w:pPr>
                    <w:tabs>
                      <w:tab w:val="left" w:pos="1008"/>
                    </w:tabs>
                    <w:ind w:left="284" w:hanging="284"/>
                    <w:jc w:val="center"/>
                    <w:rPr>
                      <w:rFonts w:ascii="Century Gothic" w:hAnsi="Century Gothic"/>
                      <w:sz w:val="20"/>
                      <w:szCs w:val="20"/>
                    </w:rPr>
                  </w:pPr>
                  <w:r>
                    <w:rPr>
                      <w:rFonts w:ascii="Century Gothic" w:hAnsi="Century Gothic"/>
                      <w:sz w:val="20"/>
                      <w:szCs w:val="20"/>
                    </w:rPr>
                    <w:t>286</w:t>
                  </w:r>
                </w:p>
              </w:tc>
              <w:tc>
                <w:tcPr>
                  <w:tcW w:w="992" w:type="dxa"/>
                  <w:vAlign w:val="center"/>
                </w:tcPr>
                <w:p w:rsidR="000169D7" w:rsidRPr="000169D7" w:rsidRDefault="00071E07" w:rsidP="00EE7F20">
                  <w:pPr>
                    <w:tabs>
                      <w:tab w:val="left" w:pos="1008"/>
                    </w:tabs>
                    <w:ind w:left="284" w:hanging="284"/>
                    <w:jc w:val="center"/>
                    <w:rPr>
                      <w:rFonts w:ascii="Century Gothic" w:hAnsi="Century Gothic"/>
                      <w:sz w:val="20"/>
                      <w:szCs w:val="20"/>
                    </w:rPr>
                  </w:pPr>
                  <w:r>
                    <w:rPr>
                      <w:rFonts w:ascii="Century Gothic" w:hAnsi="Century Gothic"/>
                      <w:sz w:val="20"/>
                      <w:szCs w:val="20"/>
                    </w:rPr>
                    <w:t>324</w:t>
                  </w:r>
                </w:p>
              </w:tc>
              <w:tc>
                <w:tcPr>
                  <w:tcW w:w="1134" w:type="dxa"/>
                  <w:vAlign w:val="center"/>
                </w:tcPr>
                <w:p w:rsidR="000169D7" w:rsidRPr="000169D7" w:rsidRDefault="00A6117E" w:rsidP="00EE7F20">
                  <w:pPr>
                    <w:tabs>
                      <w:tab w:val="left" w:pos="1008"/>
                    </w:tabs>
                    <w:ind w:left="284" w:hanging="284"/>
                    <w:jc w:val="center"/>
                    <w:rPr>
                      <w:rFonts w:ascii="Century Gothic" w:hAnsi="Century Gothic"/>
                      <w:sz w:val="20"/>
                      <w:szCs w:val="20"/>
                    </w:rPr>
                  </w:pPr>
                  <w:r>
                    <w:rPr>
                      <w:rFonts w:ascii="Century Gothic" w:hAnsi="Century Gothic"/>
                      <w:sz w:val="20"/>
                      <w:szCs w:val="20"/>
                    </w:rPr>
                    <w:t>-</w:t>
                  </w:r>
                </w:p>
              </w:tc>
              <w:tc>
                <w:tcPr>
                  <w:tcW w:w="1134" w:type="dxa"/>
                  <w:vAlign w:val="center"/>
                </w:tcPr>
                <w:p w:rsidR="000169D7" w:rsidRPr="000169D7" w:rsidRDefault="00EE7F20" w:rsidP="00EE7F20">
                  <w:pPr>
                    <w:tabs>
                      <w:tab w:val="left" w:pos="1008"/>
                    </w:tabs>
                    <w:ind w:left="284" w:hanging="284"/>
                    <w:jc w:val="center"/>
                    <w:rPr>
                      <w:rFonts w:ascii="Century Gothic" w:hAnsi="Century Gothic"/>
                      <w:sz w:val="20"/>
                      <w:szCs w:val="20"/>
                    </w:rPr>
                  </w:pPr>
                  <w:r>
                    <w:rPr>
                      <w:rFonts w:ascii="Century Gothic" w:hAnsi="Century Gothic"/>
                      <w:sz w:val="20"/>
                      <w:szCs w:val="20"/>
                    </w:rPr>
                    <w:t>32</w:t>
                  </w:r>
                </w:p>
              </w:tc>
              <w:tc>
                <w:tcPr>
                  <w:tcW w:w="1134" w:type="dxa"/>
                  <w:vAlign w:val="center"/>
                </w:tcPr>
                <w:p w:rsidR="000169D7" w:rsidRPr="000169D7" w:rsidRDefault="00EE7F20" w:rsidP="00EE7F20">
                  <w:pPr>
                    <w:tabs>
                      <w:tab w:val="left" w:pos="1008"/>
                    </w:tabs>
                    <w:ind w:left="284" w:hanging="284"/>
                    <w:jc w:val="center"/>
                    <w:rPr>
                      <w:rFonts w:ascii="Century Gothic" w:hAnsi="Century Gothic"/>
                      <w:sz w:val="20"/>
                      <w:szCs w:val="20"/>
                    </w:rPr>
                  </w:pPr>
                  <w:r>
                    <w:rPr>
                      <w:rFonts w:ascii="Century Gothic" w:hAnsi="Century Gothic"/>
                      <w:sz w:val="20"/>
                      <w:szCs w:val="20"/>
                    </w:rPr>
                    <w:t>32</w:t>
                  </w:r>
                </w:p>
              </w:tc>
            </w:tr>
            <w:tr w:rsidR="000169D7" w:rsidRPr="00CC6B8D" w:rsidTr="00EE7F20">
              <w:trPr>
                <w:jc w:val="center"/>
              </w:trPr>
              <w:tc>
                <w:tcPr>
                  <w:tcW w:w="2223" w:type="dxa"/>
                  <w:vAlign w:val="center"/>
                </w:tcPr>
                <w:p w:rsidR="000169D7" w:rsidRPr="000169D7" w:rsidRDefault="000169D7" w:rsidP="00F15157">
                  <w:pPr>
                    <w:tabs>
                      <w:tab w:val="left" w:pos="1008"/>
                    </w:tabs>
                    <w:rPr>
                      <w:rFonts w:ascii="Century Gothic" w:hAnsi="Century Gothic"/>
                      <w:sz w:val="20"/>
                      <w:szCs w:val="20"/>
                    </w:rPr>
                  </w:pPr>
                  <w:r w:rsidRPr="000169D7">
                    <w:rPr>
                      <w:rFonts w:ascii="Century Gothic" w:hAnsi="Century Gothic"/>
                      <w:sz w:val="20"/>
                      <w:szCs w:val="20"/>
                    </w:rPr>
                    <w:t>Gestion et comptabilité simplifié</w:t>
                  </w:r>
                  <w:r w:rsidR="00DD3D9B">
                    <w:rPr>
                      <w:rFonts w:ascii="Century Gothic" w:hAnsi="Century Gothic"/>
                      <w:sz w:val="20"/>
                      <w:szCs w:val="20"/>
                    </w:rPr>
                    <w:t>e</w:t>
                  </w:r>
                  <w:r w:rsidR="00EE7F20">
                    <w:rPr>
                      <w:rFonts w:ascii="Century Gothic" w:hAnsi="Century Gothic"/>
                      <w:sz w:val="20"/>
                      <w:szCs w:val="20"/>
                    </w:rPr>
                    <w:t>s</w:t>
                  </w:r>
                </w:p>
              </w:tc>
              <w:tc>
                <w:tcPr>
                  <w:tcW w:w="1080" w:type="dxa"/>
                  <w:vAlign w:val="center"/>
                </w:tcPr>
                <w:p w:rsidR="000169D7" w:rsidRPr="000169D7" w:rsidRDefault="002E540C" w:rsidP="00EE7F20">
                  <w:pPr>
                    <w:tabs>
                      <w:tab w:val="left" w:pos="1008"/>
                    </w:tabs>
                    <w:ind w:left="284" w:hanging="284"/>
                    <w:jc w:val="center"/>
                    <w:rPr>
                      <w:rFonts w:ascii="Century Gothic" w:hAnsi="Century Gothic"/>
                      <w:sz w:val="20"/>
                      <w:szCs w:val="20"/>
                    </w:rPr>
                  </w:pPr>
                  <w:r>
                    <w:rPr>
                      <w:rFonts w:ascii="Century Gothic" w:hAnsi="Century Gothic"/>
                      <w:sz w:val="20"/>
                      <w:szCs w:val="20"/>
                    </w:rPr>
                    <w:t>53</w:t>
                  </w:r>
                </w:p>
              </w:tc>
              <w:tc>
                <w:tcPr>
                  <w:tcW w:w="1134" w:type="dxa"/>
                  <w:vAlign w:val="center"/>
                </w:tcPr>
                <w:p w:rsidR="000169D7" w:rsidRPr="000169D7" w:rsidRDefault="00641272" w:rsidP="00EE7F20">
                  <w:pPr>
                    <w:tabs>
                      <w:tab w:val="left" w:pos="1008"/>
                    </w:tabs>
                    <w:ind w:left="284" w:hanging="284"/>
                    <w:jc w:val="center"/>
                    <w:rPr>
                      <w:rFonts w:ascii="Century Gothic" w:hAnsi="Century Gothic"/>
                      <w:sz w:val="20"/>
                      <w:szCs w:val="20"/>
                    </w:rPr>
                  </w:pPr>
                  <w:r>
                    <w:rPr>
                      <w:rFonts w:ascii="Century Gothic" w:hAnsi="Century Gothic"/>
                      <w:sz w:val="20"/>
                      <w:szCs w:val="20"/>
                    </w:rPr>
                    <w:t>42</w:t>
                  </w:r>
                </w:p>
              </w:tc>
              <w:tc>
                <w:tcPr>
                  <w:tcW w:w="992" w:type="dxa"/>
                  <w:vAlign w:val="center"/>
                </w:tcPr>
                <w:p w:rsidR="000169D7" w:rsidRPr="000169D7" w:rsidRDefault="00071E07" w:rsidP="00EE7F20">
                  <w:pPr>
                    <w:tabs>
                      <w:tab w:val="left" w:pos="1008"/>
                    </w:tabs>
                    <w:ind w:left="284" w:hanging="284"/>
                    <w:jc w:val="center"/>
                    <w:rPr>
                      <w:rFonts w:ascii="Century Gothic" w:hAnsi="Century Gothic"/>
                      <w:sz w:val="20"/>
                      <w:szCs w:val="20"/>
                    </w:rPr>
                  </w:pPr>
                  <w:r>
                    <w:rPr>
                      <w:rFonts w:ascii="Century Gothic" w:hAnsi="Century Gothic"/>
                      <w:sz w:val="20"/>
                      <w:szCs w:val="20"/>
                    </w:rPr>
                    <w:t>95</w:t>
                  </w:r>
                </w:p>
              </w:tc>
              <w:tc>
                <w:tcPr>
                  <w:tcW w:w="1134" w:type="dxa"/>
                  <w:vAlign w:val="center"/>
                </w:tcPr>
                <w:p w:rsidR="000169D7" w:rsidRPr="000169D7" w:rsidRDefault="00A6117E" w:rsidP="00EE7F20">
                  <w:pPr>
                    <w:tabs>
                      <w:tab w:val="left" w:pos="1008"/>
                    </w:tabs>
                    <w:ind w:left="284" w:hanging="284"/>
                    <w:jc w:val="center"/>
                    <w:rPr>
                      <w:rFonts w:ascii="Century Gothic" w:hAnsi="Century Gothic"/>
                      <w:sz w:val="20"/>
                      <w:szCs w:val="20"/>
                    </w:rPr>
                  </w:pPr>
                  <w:r>
                    <w:rPr>
                      <w:rFonts w:ascii="Century Gothic" w:hAnsi="Century Gothic"/>
                      <w:sz w:val="20"/>
                      <w:szCs w:val="20"/>
                    </w:rPr>
                    <w:t>-</w:t>
                  </w:r>
                </w:p>
              </w:tc>
              <w:tc>
                <w:tcPr>
                  <w:tcW w:w="1134" w:type="dxa"/>
                  <w:vAlign w:val="center"/>
                </w:tcPr>
                <w:p w:rsidR="000169D7" w:rsidRPr="000169D7" w:rsidRDefault="00EE7F20" w:rsidP="00EE7F20">
                  <w:pPr>
                    <w:tabs>
                      <w:tab w:val="left" w:pos="1008"/>
                    </w:tabs>
                    <w:ind w:left="284" w:hanging="284"/>
                    <w:jc w:val="center"/>
                    <w:rPr>
                      <w:rFonts w:ascii="Century Gothic" w:hAnsi="Century Gothic"/>
                      <w:sz w:val="20"/>
                      <w:szCs w:val="20"/>
                    </w:rPr>
                  </w:pPr>
                  <w:r>
                    <w:rPr>
                      <w:rFonts w:ascii="Century Gothic" w:hAnsi="Century Gothic"/>
                      <w:sz w:val="20"/>
                      <w:szCs w:val="20"/>
                    </w:rPr>
                    <w:t>56</w:t>
                  </w:r>
                </w:p>
              </w:tc>
              <w:tc>
                <w:tcPr>
                  <w:tcW w:w="1134" w:type="dxa"/>
                  <w:vAlign w:val="center"/>
                </w:tcPr>
                <w:p w:rsidR="000169D7" w:rsidRPr="000169D7" w:rsidRDefault="00EE7F20" w:rsidP="00EE7F20">
                  <w:pPr>
                    <w:tabs>
                      <w:tab w:val="left" w:pos="1008"/>
                    </w:tabs>
                    <w:ind w:left="284" w:hanging="284"/>
                    <w:jc w:val="center"/>
                    <w:rPr>
                      <w:rFonts w:ascii="Century Gothic" w:hAnsi="Century Gothic"/>
                      <w:sz w:val="20"/>
                      <w:szCs w:val="20"/>
                    </w:rPr>
                  </w:pPr>
                  <w:r>
                    <w:rPr>
                      <w:rFonts w:ascii="Century Gothic" w:hAnsi="Century Gothic"/>
                      <w:sz w:val="20"/>
                      <w:szCs w:val="20"/>
                    </w:rPr>
                    <w:t>56</w:t>
                  </w:r>
                </w:p>
              </w:tc>
            </w:tr>
            <w:tr w:rsidR="000169D7" w:rsidRPr="00CC6B8D" w:rsidTr="00EE7F20">
              <w:trPr>
                <w:jc w:val="center"/>
              </w:trPr>
              <w:tc>
                <w:tcPr>
                  <w:tcW w:w="2223" w:type="dxa"/>
                  <w:vAlign w:val="center"/>
                </w:tcPr>
                <w:p w:rsidR="000169D7" w:rsidRPr="000169D7" w:rsidRDefault="000169D7" w:rsidP="00F15157">
                  <w:pPr>
                    <w:tabs>
                      <w:tab w:val="left" w:pos="1008"/>
                    </w:tabs>
                    <w:rPr>
                      <w:rFonts w:ascii="Century Gothic" w:hAnsi="Century Gothic"/>
                      <w:sz w:val="20"/>
                      <w:szCs w:val="20"/>
                    </w:rPr>
                  </w:pPr>
                  <w:r w:rsidRPr="000169D7">
                    <w:rPr>
                      <w:rFonts w:ascii="Century Gothic" w:hAnsi="Century Gothic"/>
                      <w:sz w:val="20"/>
                      <w:szCs w:val="20"/>
                    </w:rPr>
                    <w:t>Marketing et commercialisation</w:t>
                  </w:r>
                </w:p>
              </w:tc>
              <w:tc>
                <w:tcPr>
                  <w:tcW w:w="1080" w:type="dxa"/>
                  <w:vAlign w:val="center"/>
                </w:tcPr>
                <w:p w:rsidR="000169D7" w:rsidRPr="000169D7" w:rsidRDefault="002E540C" w:rsidP="00EE7F20">
                  <w:pPr>
                    <w:tabs>
                      <w:tab w:val="left" w:pos="1008"/>
                    </w:tabs>
                    <w:ind w:left="284" w:hanging="284"/>
                    <w:jc w:val="center"/>
                    <w:rPr>
                      <w:rFonts w:ascii="Century Gothic" w:hAnsi="Century Gothic"/>
                      <w:sz w:val="20"/>
                      <w:szCs w:val="20"/>
                    </w:rPr>
                  </w:pPr>
                  <w:r>
                    <w:rPr>
                      <w:rFonts w:ascii="Century Gothic" w:hAnsi="Century Gothic"/>
                      <w:sz w:val="20"/>
                      <w:szCs w:val="20"/>
                    </w:rPr>
                    <w:t>53</w:t>
                  </w:r>
                </w:p>
              </w:tc>
              <w:tc>
                <w:tcPr>
                  <w:tcW w:w="1134" w:type="dxa"/>
                  <w:vAlign w:val="center"/>
                </w:tcPr>
                <w:p w:rsidR="000169D7" w:rsidRPr="000169D7" w:rsidRDefault="00641272" w:rsidP="00EE7F20">
                  <w:pPr>
                    <w:tabs>
                      <w:tab w:val="left" w:pos="1008"/>
                    </w:tabs>
                    <w:ind w:left="284" w:hanging="284"/>
                    <w:jc w:val="center"/>
                    <w:rPr>
                      <w:rFonts w:ascii="Century Gothic" w:hAnsi="Century Gothic"/>
                      <w:sz w:val="20"/>
                      <w:szCs w:val="20"/>
                    </w:rPr>
                  </w:pPr>
                  <w:r>
                    <w:rPr>
                      <w:rFonts w:ascii="Century Gothic" w:hAnsi="Century Gothic"/>
                      <w:sz w:val="20"/>
                      <w:szCs w:val="20"/>
                    </w:rPr>
                    <w:t>15</w:t>
                  </w:r>
                </w:p>
              </w:tc>
              <w:tc>
                <w:tcPr>
                  <w:tcW w:w="992" w:type="dxa"/>
                  <w:vAlign w:val="center"/>
                </w:tcPr>
                <w:p w:rsidR="000169D7" w:rsidRPr="000169D7" w:rsidRDefault="00071E07" w:rsidP="00EE7F20">
                  <w:pPr>
                    <w:tabs>
                      <w:tab w:val="left" w:pos="1008"/>
                    </w:tabs>
                    <w:ind w:left="284" w:hanging="284"/>
                    <w:jc w:val="center"/>
                    <w:rPr>
                      <w:rFonts w:ascii="Century Gothic" w:hAnsi="Century Gothic"/>
                      <w:sz w:val="20"/>
                      <w:szCs w:val="20"/>
                    </w:rPr>
                  </w:pPr>
                  <w:r>
                    <w:rPr>
                      <w:rFonts w:ascii="Century Gothic" w:hAnsi="Century Gothic"/>
                      <w:sz w:val="20"/>
                      <w:szCs w:val="20"/>
                    </w:rPr>
                    <w:t>68</w:t>
                  </w:r>
                </w:p>
              </w:tc>
              <w:tc>
                <w:tcPr>
                  <w:tcW w:w="1134" w:type="dxa"/>
                  <w:vAlign w:val="center"/>
                </w:tcPr>
                <w:p w:rsidR="000169D7" w:rsidRPr="000169D7" w:rsidRDefault="00A6117E" w:rsidP="00EE7F20">
                  <w:pPr>
                    <w:tabs>
                      <w:tab w:val="left" w:pos="1008"/>
                    </w:tabs>
                    <w:ind w:left="284" w:hanging="284"/>
                    <w:jc w:val="center"/>
                    <w:rPr>
                      <w:rFonts w:ascii="Century Gothic" w:hAnsi="Century Gothic"/>
                      <w:sz w:val="20"/>
                      <w:szCs w:val="20"/>
                    </w:rPr>
                  </w:pPr>
                  <w:r>
                    <w:rPr>
                      <w:rFonts w:ascii="Century Gothic" w:hAnsi="Century Gothic"/>
                      <w:sz w:val="20"/>
                      <w:szCs w:val="20"/>
                    </w:rPr>
                    <w:t>-</w:t>
                  </w:r>
                </w:p>
              </w:tc>
              <w:tc>
                <w:tcPr>
                  <w:tcW w:w="1134" w:type="dxa"/>
                  <w:vAlign w:val="center"/>
                </w:tcPr>
                <w:p w:rsidR="000169D7" w:rsidRPr="000169D7" w:rsidRDefault="00EE7F20" w:rsidP="00EE7F20">
                  <w:pPr>
                    <w:tabs>
                      <w:tab w:val="left" w:pos="1008"/>
                    </w:tabs>
                    <w:ind w:left="284" w:hanging="284"/>
                    <w:jc w:val="center"/>
                    <w:rPr>
                      <w:rFonts w:ascii="Century Gothic" w:hAnsi="Century Gothic"/>
                      <w:sz w:val="20"/>
                      <w:szCs w:val="20"/>
                    </w:rPr>
                  </w:pPr>
                  <w:r>
                    <w:rPr>
                      <w:rFonts w:ascii="Century Gothic" w:hAnsi="Century Gothic"/>
                      <w:sz w:val="20"/>
                      <w:szCs w:val="20"/>
                    </w:rPr>
                    <w:t>48</w:t>
                  </w:r>
                </w:p>
              </w:tc>
              <w:tc>
                <w:tcPr>
                  <w:tcW w:w="1134" w:type="dxa"/>
                  <w:vAlign w:val="center"/>
                </w:tcPr>
                <w:p w:rsidR="000169D7" w:rsidRPr="000169D7" w:rsidRDefault="00EE7F20" w:rsidP="00EE7F20">
                  <w:pPr>
                    <w:tabs>
                      <w:tab w:val="left" w:pos="1008"/>
                    </w:tabs>
                    <w:ind w:left="284" w:hanging="284"/>
                    <w:jc w:val="center"/>
                    <w:rPr>
                      <w:rFonts w:ascii="Century Gothic" w:hAnsi="Century Gothic"/>
                      <w:sz w:val="20"/>
                      <w:szCs w:val="20"/>
                    </w:rPr>
                  </w:pPr>
                  <w:r>
                    <w:rPr>
                      <w:rFonts w:ascii="Century Gothic" w:hAnsi="Century Gothic"/>
                      <w:sz w:val="20"/>
                      <w:szCs w:val="20"/>
                    </w:rPr>
                    <w:t>48</w:t>
                  </w:r>
                </w:p>
              </w:tc>
            </w:tr>
            <w:tr w:rsidR="000169D7" w:rsidRPr="00C25655" w:rsidTr="00EE7F20">
              <w:trPr>
                <w:jc w:val="center"/>
              </w:trPr>
              <w:tc>
                <w:tcPr>
                  <w:tcW w:w="2223" w:type="dxa"/>
                  <w:vAlign w:val="center"/>
                </w:tcPr>
                <w:p w:rsidR="000169D7" w:rsidRPr="000169D7" w:rsidRDefault="000169D7" w:rsidP="00F15157">
                  <w:pPr>
                    <w:tabs>
                      <w:tab w:val="left" w:pos="1008"/>
                    </w:tabs>
                    <w:rPr>
                      <w:rFonts w:ascii="Century Gothic" w:hAnsi="Century Gothic"/>
                      <w:sz w:val="20"/>
                      <w:szCs w:val="20"/>
                      <w:lang w:val="fr-FR"/>
                    </w:rPr>
                  </w:pPr>
                  <w:r w:rsidRPr="000169D7">
                    <w:rPr>
                      <w:rFonts w:ascii="Century Gothic" w:hAnsi="Century Gothic"/>
                      <w:sz w:val="20"/>
                      <w:szCs w:val="20"/>
                      <w:lang w:val="fr-FR"/>
                    </w:rPr>
                    <w:t>Culture entrepreneuriale et culture d’épargne et de crédit</w:t>
                  </w:r>
                </w:p>
              </w:tc>
              <w:tc>
                <w:tcPr>
                  <w:tcW w:w="1080" w:type="dxa"/>
                  <w:vAlign w:val="center"/>
                </w:tcPr>
                <w:p w:rsidR="000169D7" w:rsidRPr="000169D7" w:rsidRDefault="000169D7" w:rsidP="00EE7F20">
                  <w:pPr>
                    <w:tabs>
                      <w:tab w:val="left" w:pos="1008"/>
                    </w:tabs>
                    <w:ind w:left="284" w:hanging="284"/>
                    <w:jc w:val="center"/>
                    <w:rPr>
                      <w:rFonts w:ascii="Century Gothic" w:hAnsi="Century Gothic"/>
                      <w:sz w:val="20"/>
                      <w:szCs w:val="20"/>
                      <w:lang w:val="fr-FR"/>
                    </w:rPr>
                  </w:pPr>
                  <w:r w:rsidRPr="000169D7">
                    <w:rPr>
                      <w:rFonts w:ascii="Century Gothic" w:hAnsi="Century Gothic"/>
                      <w:sz w:val="20"/>
                      <w:szCs w:val="20"/>
                      <w:lang w:val="fr-FR"/>
                    </w:rPr>
                    <w:t>24</w:t>
                  </w:r>
                </w:p>
              </w:tc>
              <w:tc>
                <w:tcPr>
                  <w:tcW w:w="1134" w:type="dxa"/>
                  <w:vAlign w:val="center"/>
                </w:tcPr>
                <w:p w:rsidR="000169D7" w:rsidRPr="000169D7" w:rsidRDefault="00641272" w:rsidP="00EE7F20">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w:t>
                  </w:r>
                </w:p>
              </w:tc>
              <w:tc>
                <w:tcPr>
                  <w:tcW w:w="992" w:type="dxa"/>
                  <w:vAlign w:val="center"/>
                </w:tcPr>
                <w:p w:rsidR="000169D7" w:rsidRPr="000169D7" w:rsidRDefault="00641272" w:rsidP="00EE7F20">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24</w:t>
                  </w:r>
                </w:p>
              </w:tc>
              <w:tc>
                <w:tcPr>
                  <w:tcW w:w="1134" w:type="dxa"/>
                  <w:vAlign w:val="center"/>
                </w:tcPr>
                <w:p w:rsidR="000169D7" w:rsidRPr="000169D7" w:rsidRDefault="00A6117E" w:rsidP="00EE7F20">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w:t>
                  </w:r>
                </w:p>
              </w:tc>
              <w:tc>
                <w:tcPr>
                  <w:tcW w:w="1134" w:type="dxa"/>
                  <w:vAlign w:val="center"/>
                </w:tcPr>
                <w:p w:rsidR="000169D7" w:rsidRPr="000169D7" w:rsidRDefault="00EE7F20" w:rsidP="00EE7F20">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24</w:t>
                  </w:r>
                </w:p>
              </w:tc>
              <w:tc>
                <w:tcPr>
                  <w:tcW w:w="1134" w:type="dxa"/>
                  <w:vAlign w:val="center"/>
                </w:tcPr>
                <w:p w:rsidR="000169D7" w:rsidRPr="000169D7" w:rsidRDefault="00EE7F20" w:rsidP="00EE7F20">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24</w:t>
                  </w:r>
                </w:p>
              </w:tc>
            </w:tr>
            <w:tr w:rsidR="000169D7" w:rsidRPr="00C25655" w:rsidTr="00EE7F20">
              <w:trPr>
                <w:jc w:val="center"/>
              </w:trPr>
              <w:tc>
                <w:tcPr>
                  <w:tcW w:w="2223" w:type="dxa"/>
                  <w:vAlign w:val="center"/>
                </w:tcPr>
                <w:p w:rsidR="000169D7" w:rsidRPr="000169D7" w:rsidRDefault="000169D7" w:rsidP="00F15157">
                  <w:pPr>
                    <w:tabs>
                      <w:tab w:val="left" w:pos="1008"/>
                    </w:tabs>
                    <w:rPr>
                      <w:rFonts w:ascii="Century Gothic" w:hAnsi="Century Gothic"/>
                      <w:sz w:val="20"/>
                      <w:szCs w:val="20"/>
                      <w:lang w:val="fr-FR"/>
                    </w:rPr>
                  </w:pPr>
                  <w:r w:rsidRPr="000169D7">
                    <w:rPr>
                      <w:rFonts w:ascii="Century Gothic" w:hAnsi="Century Gothic"/>
                      <w:sz w:val="20"/>
                      <w:szCs w:val="20"/>
                      <w:lang w:val="fr-FR"/>
                    </w:rPr>
                    <w:t>Business Plan</w:t>
                  </w:r>
                </w:p>
              </w:tc>
              <w:tc>
                <w:tcPr>
                  <w:tcW w:w="1080" w:type="dxa"/>
                  <w:vAlign w:val="center"/>
                </w:tcPr>
                <w:p w:rsidR="000169D7" w:rsidRPr="000169D7" w:rsidRDefault="002E540C" w:rsidP="00EE7F20">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25</w:t>
                  </w:r>
                </w:p>
              </w:tc>
              <w:tc>
                <w:tcPr>
                  <w:tcW w:w="1134" w:type="dxa"/>
                  <w:vAlign w:val="center"/>
                </w:tcPr>
                <w:p w:rsidR="000169D7" w:rsidRPr="000169D7" w:rsidRDefault="00641272" w:rsidP="00EE7F20">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w:t>
                  </w:r>
                </w:p>
              </w:tc>
              <w:tc>
                <w:tcPr>
                  <w:tcW w:w="992" w:type="dxa"/>
                  <w:vAlign w:val="center"/>
                </w:tcPr>
                <w:p w:rsidR="000169D7" w:rsidRPr="000169D7" w:rsidRDefault="00641272" w:rsidP="00EE7F20">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25</w:t>
                  </w:r>
                </w:p>
              </w:tc>
              <w:tc>
                <w:tcPr>
                  <w:tcW w:w="1134" w:type="dxa"/>
                  <w:vAlign w:val="center"/>
                </w:tcPr>
                <w:p w:rsidR="000169D7" w:rsidRPr="000169D7" w:rsidRDefault="00A6117E" w:rsidP="00EE7F20">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w:t>
                  </w:r>
                </w:p>
              </w:tc>
              <w:tc>
                <w:tcPr>
                  <w:tcW w:w="1134" w:type="dxa"/>
                  <w:vAlign w:val="center"/>
                </w:tcPr>
                <w:p w:rsidR="000169D7" w:rsidRPr="000169D7" w:rsidRDefault="00EE7F20" w:rsidP="00EE7F20">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47</w:t>
                  </w:r>
                </w:p>
              </w:tc>
              <w:tc>
                <w:tcPr>
                  <w:tcW w:w="1134" w:type="dxa"/>
                  <w:vAlign w:val="center"/>
                </w:tcPr>
                <w:p w:rsidR="000169D7" w:rsidRPr="000169D7" w:rsidRDefault="00EE7F20" w:rsidP="00EE7F20">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47</w:t>
                  </w:r>
                </w:p>
              </w:tc>
            </w:tr>
          </w:tbl>
          <w:p w:rsidR="000169D7" w:rsidRPr="000169D7" w:rsidRDefault="000169D7" w:rsidP="000169D7">
            <w:pPr>
              <w:tabs>
                <w:tab w:val="left" w:pos="1008"/>
              </w:tabs>
              <w:ind w:left="66"/>
              <w:jc w:val="both"/>
              <w:rPr>
                <w:rFonts w:ascii="Century Gothic" w:hAnsi="Century Gothic"/>
                <w:sz w:val="20"/>
                <w:szCs w:val="20"/>
                <w:lang w:val="fr-FR"/>
              </w:rPr>
            </w:pPr>
          </w:p>
          <w:p w:rsidR="00A1346D" w:rsidRDefault="00A1346D" w:rsidP="000169D7">
            <w:pPr>
              <w:tabs>
                <w:tab w:val="left" w:pos="1008"/>
              </w:tabs>
              <w:ind w:left="66"/>
              <w:jc w:val="both"/>
              <w:rPr>
                <w:rFonts w:ascii="Century Gothic" w:hAnsi="Century Gothic"/>
                <w:sz w:val="20"/>
                <w:szCs w:val="20"/>
                <w:lang w:val="fr-FR"/>
              </w:rPr>
            </w:pPr>
          </w:p>
          <w:p w:rsidR="000169D7" w:rsidRPr="000169D7" w:rsidRDefault="000169D7" w:rsidP="000169D7">
            <w:pPr>
              <w:tabs>
                <w:tab w:val="left" w:pos="1008"/>
              </w:tabs>
              <w:ind w:left="66"/>
              <w:jc w:val="both"/>
              <w:rPr>
                <w:rFonts w:ascii="Century Gothic" w:hAnsi="Century Gothic"/>
                <w:sz w:val="20"/>
                <w:szCs w:val="20"/>
                <w:lang w:val="fr-FR"/>
              </w:rPr>
            </w:pPr>
            <w:r w:rsidRPr="000169D7">
              <w:rPr>
                <w:rFonts w:ascii="Century Gothic" w:hAnsi="Century Gothic"/>
                <w:sz w:val="20"/>
                <w:szCs w:val="20"/>
                <w:lang w:val="fr-FR"/>
              </w:rPr>
              <w:t xml:space="preserve">Les objectifs quantitatifs prévus dans le PTBA 2009 ont été atteints et même dépassés dans la plupart </w:t>
            </w:r>
            <w:r w:rsidRPr="000169D7">
              <w:rPr>
                <w:rFonts w:ascii="Century Gothic" w:hAnsi="Century Gothic"/>
                <w:sz w:val="20"/>
                <w:szCs w:val="20"/>
                <w:lang w:val="fr-FR"/>
              </w:rPr>
              <w:lastRenderedPageBreak/>
              <w:t>des cas. Certaines formations non prévues initialement ont été réalisées. Celles-ci incluent la culture entrepreneuriale, la culture d’épargne/crédit, et l’élaboration d’un business plan. Dans l’ensemble, le taux d’exécution de l’activité varie entre 100 et 400% suivant les thèmes de formation.</w:t>
            </w:r>
          </w:p>
          <w:p w:rsidR="000169D7" w:rsidRPr="000169D7" w:rsidRDefault="000169D7" w:rsidP="000169D7">
            <w:pPr>
              <w:tabs>
                <w:tab w:val="left" w:pos="1008"/>
              </w:tabs>
              <w:ind w:left="66"/>
              <w:jc w:val="both"/>
              <w:rPr>
                <w:rFonts w:ascii="Century Gothic" w:hAnsi="Century Gothic"/>
                <w:sz w:val="20"/>
                <w:szCs w:val="20"/>
                <w:lang w:val="fr-FR"/>
              </w:rPr>
            </w:pPr>
          </w:p>
          <w:p w:rsidR="000169D7" w:rsidRDefault="00A6117E" w:rsidP="006247B1">
            <w:pPr>
              <w:pStyle w:val="Paragraphedeliste"/>
              <w:numPr>
                <w:ilvl w:val="0"/>
                <w:numId w:val="10"/>
              </w:numPr>
              <w:spacing w:after="0" w:line="240" w:lineRule="auto"/>
              <w:ind w:left="426"/>
              <w:jc w:val="both"/>
              <w:rPr>
                <w:rFonts w:ascii="Century Gothic" w:eastAsia="Times New Roman" w:hAnsi="Century Gothic"/>
                <w:sz w:val="20"/>
                <w:szCs w:val="20"/>
              </w:rPr>
            </w:pPr>
            <w:r>
              <w:rPr>
                <w:rFonts w:ascii="Century Gothic" w:eastAsia="Times New Roman" w:hAnsi="Century Gothic"/>
                <w:sz w:val="20"/>
                <w:szCs w:val="20"/>
              </w:rPr>
              <w:t xml:space="preserve">7601 </w:t>
            </w:r>
            <w:r w:rsidR="000169D7" w:rsidRPr="00952681">
              <w:rPr>
                <w:rFonts w:ascii="Century Gothic" w:eastAsia="Times New Roman" w:hAnsi="Century Gothic"/>
                <w:sz w:val="20"/>
                <w:szCs w:val="20"/>
              </w:rPr>
              <w:t>MER</w:t>
            </w:r>
            <w:r>
              <w:rPr>
                <w:rFonts w:ascii="Century Gothic" w:eastAsia="Times New Roman" w:hAnsi="Century Gothic"/>
                <w:sz w:val="20"/>
                <w:szCs w:val="20"/>
              </w:rPr>
              <w:t xml:space="preserve"> </w:t>
            </w:r>
            <w:r w:rsidR="000169D7" w:rsidRPr="00952681">
              <w:rPr>
                <w:rFonts w:ascii="Century Gothic" w:eastAsia="Times New Roman" w:hAnsi="Century Gothic"/>
                <w:sz w:val="20"/>
                <w:szCs w:val="20"/>
              </w:rPr>
              <w:t>sont renforcées sur divers thèmes :</w:t>
            </w:r>
            <w:r>
              <w:rPr>
                <w:rFonts w:ascii="Century Gothic" w:eastAsia="Times New Roman" w:hAnsi="Century Gothic"/>
                <w:sz w:val="20"/>
                <w:szCs w:val="20"/>
              </w:rPr>
              <w:t xml:space="preserve"> </w:t>
            </w:r>
          </w:p>
          <w:p w:rsidR="00A1346D" w:rsidRPr="00952681" w:rsidRDefault="00A1346D" w:rsidP="00A1346D">
            <w:pPr>
              <w:pStyle w:val="Paragraphedeliste"/>
              <w:spacing w:after="0" w:line="240" w:lineRule="auto"/>
              <w:ind w:left="426"/>
              <w:jc w:val="both"/>
              <w:rPr>
                <w:rFonts w:ascii="Century Gothic" w:eastAsia="Times New Roman" w:hAnsi="Century Gothic"/>
                <w:sz w:val="20"/>
                <w:szCs w:val="20"/>
              </w:rPr>
            </w:pPr>
          </w:p>
          <w:p w:rsidR="000169D7" w:rsidRPr="000169D7" w:rsidRDefault="000169D7" w:rsidP="000169D7">
            <w:pPr>
              <w:tabs>
                <w:tab w:val="left" w:pos="1008"/>
              </w:tabs>
              <w:ind w:left="66"/>
              <w:jc w:val="both"/>
              <w:rPr>
                <w:rFonts w:ascii="Century Gothic" w:hAnsi="Century Gothic"/>
                <w:sz w:val="20"/>
                <w:szCs w:val="20"/>
                <w:lang w:val="fr-FR"/>
              </w:rPr>
            </w:pPr>
          </w:p>
          <w:tbl>
            <w:tblPr>
              <w:tblW w:w="0" w:type="auto"/>
              <w:jc w:val="center"/>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05"/>
              <w:gridCol w:w="1963"/>
              <w:gridCol w:w="1912"/>
              <w:gridCol w:w="1912"/>
            </w:tblGrid>
            <w:tr w:rsidR="000169D7" w:rsidRPr="00CC6B8D" w:rsidTr="00A6117E">
              <w:trPr>
                <w:jc w:val="center"/>
              </w:trPr>
              <w:tc>
                <w:tcPr>
                  <w:tcW w:w="3005" w:type="dxa"/>
                  <w:vMerge w:val="restart"/>
                  <w:shd w:val="clear" w:color="auto" w:fill="F79646"/>
                  <w:vAlign w:val="center"/>
                </w:tcPr>
                <w:p w:rsidR="000169D7" w:rsidRPr="000169D7" w:rsidRDefault="000169D7" w:rsidP="000169D7">
                  <w:pPr>
                    <w:tabs>
                      <w:tab w:val="left" w:pos="1008"/>
                    </w:tabs>
                    <w:ind w:left="284" w:hanging="284"/>
                    <w:jc w:val="center"/>
                    <w:rPr>
                      <w:rFonts w:ascii="Century Gothic" w:hAnsi="Century Gothic"/>
                      <w:b/>
                      <w:sz w:val="20"/>
                      <w:szCs w:val="20"/>
                    </w:rPr>
                  </w:pPr>
                  <w:r w:rsidRPr="000169D7">
                    <w:rPr>
                      <w:rFonts w:ascii="Century Gothic" w:hAnsi="Century Gothic"/>
                      <w:b/>
                      <w:sz w:val="20"/>
                      <w:szCs w:val="20"/>
                    </w:rPr>
                    <w:t>Thèmes</w:t>
                  </w:r>
                </w:p>
              </w:tc>
              <w:tc>
                <w:tcPr>
                  <w:tcW w:w="5787" w:type="dxa"/>
                  <w:gridSpan w:val="3"/>
                  <w:shd w:val="clear" w:color="auto" w:fill="F79646"/>
                  <w:vAlign w:val="center"/>
                </w:tcPr>
                <w:p w:rsidR="000169D7" w:rsidRPr="000169D7" w:rsidRDefault="000169D7" w:rsidP="000169D7">
                  <w:pPr>
                    <w:tabs>
                      <w:tab w:val="left" w:pos="1008"/>
                    </w:tabs>
                    <w:ind w:left="284" w:hanging="284"/>
                    <w:jc w:val="center"/>
                    <w:rPr>
                      <w:rFonts w:ascii="Century Gothic" w:hAnsi="Century Gothic"/>
                      <w:b/>
                      <w:sz w:val="20"/>
                      <w:szCs w:val="20"/>
                    </w:rPr>
                  </w:pPr>
                  <w:r w:rsidRPr="000169D7">
                    <w:rPr>
                      <w:rFonts w:ascii="Century Gothic" w:hAnsi="Century Gothic"/>
                      <w:b/>
                      <w:sz w:val="20"/>
                      <w:szCs w:val="20"/>
                    </w:rPr>
                    <w:t>Nombre des MER formées</w:t>
                  </w:r>
                </w:p>
              </w:tc>
            </w:tr>
            <w:tr w:rsidR="000169D7" w:rsidRPr="00CC6B8D" w:rsidTr="00A6117E">
              <w:trPr>
                <w:jc w:val="center"/>
              </w:trPr>
              <w:tc>
                <w:tcPr>
                  <w:tcW w:w="3005" w:type="dxa"/>
                  <w:vMerge/>
                  <w:shd w:val="clear" w:color="auto" w:fill="F79646"/>
                  <w:vAlign w:val="center"/>
                </w:tcPr>
                <w:p w:rsidR="000169D7" w:rsidRPr="000169D7" w:rsidRDefault="000169D7" w:rsidP="000169D7">
                  <w:pPr>
                    <w:ind w:left="284" w:hanging="284"/>
                    <w:jc w:val="center"/>
                    <w:rPr>
                      <w:rFonts w:ascii="Century Gothic" w:hAnsi="Century Gothic" w:cs="Arial"/>
                      <w:b/>
                      <w:color w:val="000000"/>
                      <w:sz w:val="20"/>
                      <w:szCs w:val="20"/>
                    </w:rPr>
                  </w:pPr>
                </w:p>
              </w:tc>
              <w:tc>
                <w:tcPr>
                  <w:tcW w:w="1963" w:type="dxa"/>
                  <w:shd w:val="clear" w:color="auto" w:fill="F79646"/>
                  <w:vAlign w:val="center"/>
                </w:tcPr>
                <w:p w:rsidR="000169D7" w:rsidRPr="000169D7" w:rsidRDefault="000169D7" w:rsidP="000169D7">
                  <w:pPr>
                    <w:tabs>
                      <w:tab w:val="left" w:pos="1008"/>
                    </w:tabs>
                    <w:ind w:left="284" w:hanging="284"/>
                    <w:jc w:val="center"/>
                    <w:rPr>
                      <w:rFonts w:ascii="Century Gothic" w:hAnsi="Century Gothic"/>
                      <w:b/>
                      <w:sz w:val="20"/>
                      <w:szCs w:val="20"/>
                    </w:rPr>
                  </w:pPr>
                  <w:r w:rsidRPr="000169D7">
                    <w:rPr>
                      <w:rFonts w:ascii="Century Gothic" w:hAnsi="Century Gothic"/>
                      <w:b/>
                      <w:sz w:val="20"/>
                      <w:szCs w:val="20"/>
                    </w:rPr>
                    <w:t>Semestre 1</w:t>
                  </w:r>
                </w:p>
              </w:tc>
              <w:tc>
                <w:tcPr>
                  <w:tcW w:w="1912" w:type="dxa"/>
                  <w:shd w:val="clear" w:color="auto" w:fill="F79646"/>
                  <w:vAlign w:val="center"/>
                </w:tcPr>
                <w:p w:rsidR="000169D7" w:rsidRPr="000169D7" w:rsidRDefault="000169D7" w:rsidP="000169D7">
                  <w:pPr>
                    <w:tabs>
                      <w:tab w:val="left" w:pos="1008"/>
                    </w:tabs>
                    <w:ind w:left="284" w:hanging="284"/>
                    <w:jc w:val="center"/>
                    <w:rPr>
                      <w:rFonts w:ascii="Century Gothic" w:hAnsi="Century Gothic"/>
                      <w:b/>
                      <w:sz w:val="20"/>
                      <w:szCs w:val="20"/>
                    </w:rPr>
                  </w:pPr>
                  <w:r w:rsidRPr="000169D7">
                    <w:rPr>
                      <w:rFonts w:ascii="Century Gothic" w:hAnsi="Century Gothic"/>
                      <w:b/>
                      <w:sz w:val="20"/>
                      <w:szCs w:val="20"/>
                    </w:rPr>
                    <w:t>Semestre 2</w:t>
                  </w:r>
                </w:p>
              </w:tc>
              <w:tc>
                <w:tcPr>
                  <w:tcW w:w="1912" w:type="dxa"/>
                  <w:shd w:val="clear" w:color="auto" w:fill="F79646"/>
                  <w:vAlign w:val="center"/>
                </w:tcPr>
                <w:p w:rsidR="000169D7" w:rsidRPr="000169D7" w:rsidRDefault="000169D7" w:rsidP="000169D7">
                  <w:pPr>
                    <w:tabs>
                      <w:tab w:val="left" w:pos="1008"/>
                    </w:tabs>
                    <w:ind w:left="284" w:hanging="284"/>
                    <w:jc w:val="center"/>
                    <w:rPr>
                      <w:rFonts w:ascii="Century Gothic" w:hAnsi="Century Gothic"/>
                      <w:b/>
                      <w:sz w:val="20"/>
                      <w:szCs w:val="20"/>
                    </w:rPr>
                  </w:pPr>
                  <w:r w:rsidRPr="000169D7">
                    <w:rPr>
                      <w:rFonts w:ascii="Century Gothic" w:hAnsi="Century Gothic"/>
                      <w:b/>
                      <w:sz w:val="20"/>
                      <w:szCs w:val="20"/>
                    </w:rPr>
                    <w:t>Total</w:t>
                  </w:r>
                </w:p>
              </w:tc>
            </w:tr>
            <w:tr w:rsidR="000169D7" w:rsidRPr="00CC6B8D" w:rsidTr="00A6117E">
              <w:trPr>
                <w:jc w:val="center"/>
              </w:trPr>
              <w:tc>
                <w:tcPr>
                  <w:tcW w:w="3005" w:type="dxa"/>
                  <w:vAlign w:val="center"/>
                </w:tcPr>
                <w:p w:rsidR="000169D7" w:rsidRPr="000169D7" w:rsidRDefault="000169D7" w:rsidP="000169D7">
                  <w:pPr>
                    <w:jc w:val="both"/>
                    <w:rPr>
                      <w:rFonts w:ascii="Century Gothic" w:hAnsi="Century Gothic" w:cs="Arial"/>
                      <w:sz w:val="20"/>
                      <w:szCs w:val="20"/>
                      <w:u w:val="single"/>
                    </w:rPr>
                  </w:pPr>
                  <w:r w:rsidRPr="000169D7">
                    <w:rPr>
                      <w:rFonts w:ascii="Century Gothic" w:hAnsi="Century Gothic" w:cs="Arial"/>
                      <w:color w:val="000000"/>
                      <w:sz w:val="20"/>
                      <w:szCs w:val="20"/>
                    </w:rPr>
                    <w:t>Technique et qualité</w:t>
                  </w:r>
                </w:p>
              </w:tc>
              <w:tc>
                <w:tcPr>
                  <w:tcW w:w="1963" w:type="dxa"/>
                  <w:vAlign w:val="center"/>
                </w:tcPr>
                <w:p w:rsidR="000169D7" w:rsidRPr="000169D7" w:rsidRDefault="00A6117E" w:rsidP="00A6117E">
                  <w:pPr>
                    <w:tabs>
                      <w:tab w:val="left" w:pos="1008"/>
                    </w:tabs>
                    <w:ind w:left="284" w:hanging="284"/>
                    <w:jc w:val="center"/>
                    <w:rPr>
                      <w:rFonts w:ascii="Century Gothic" w:hAnsi="Century Gothic"/>
                      <w:sz w:val="20"/>
                      <w:szCs w:val="20"/>
                    </w:rPr>
                  </w:pPr>
                  <w:r>
                    <w:rPr>
                      <w:rFonts w:ascii="Century Gothic" w:hAnsi="Century Gothic"/>
                      <w:sz w:val="20"/>
                      <w:szCs w:val="20"/>
                    </w:rPr>
                    <w:t>233</w:t>
                  </w:r>
                </w:p>
              </w:tc>
              <w:tc>
                <w:tcPr>
                  <w:tcW w:w="1912" w:type="dxa"/>
                  <w:vAlign w:val="center"/>
                </w:tcPr>
                <w:p w:rsidR="000169D7" w:rsidRPr="000169D7" w:rsidRDefault="00A00D48" w:rsidP="00A6117E">
                  <w:pPr>
                    <w:tabs>
                      <w:tab w:val="left" w:pos="1008"/>
                    </w:tabs>
                    <w:ind w:left="284" w:hanging="284"/>
                    <w:jc w:val="center"/>
                    <w:rPr>
                      <w:rFonts w:ascii="Century Gothic" w:hAnsi="Century Gothic"/>
                      <w:sz w:val="20"/>
                      <w:szCs w:val="20"/>
                    </w:rPr>
                  </w:pPr>
                  <w:r>
                    <w:rPr>
                      <w:rFonts w:ascii="Century Gothic" w:hAnsi="Century Gothic"/>
                      <w:sz w:val="20"/>
                      <w:szCs w:val="20"/>
                    </w:rPr>
                    <w:t>2 391</w:t>
                  </w:r>
                </w:p>
              </w:tc>
              <w:tc>
                <w:tcPr>
                  <w:tcW w:w="1912" w:type="dxa"/>
                  <w:vAlign w:val="center"/>
                </w:tcPr>
                <w:p w:rsidR="000169D7" w:rsidRPr="000169D7" w:rsidRDefault="00A00D48" w:rsidP="00A6117E">
                  <w:pPr>
                    <w:tabs>
                      <w:tab w:val="left" w:pos="1008"/>
                    </w:tabs>
                    <w:ind w:left="284" w:hanging="284"/>
                    <w:jc w:val="center"/>
                    <w:rPr>
                      <w:rFonts w:ascii="Century Gothic" w:hAnsi="Century Gothic"/>
                      <w:sz w:val="20"/>
                      <w:szCs w:val="20"/>
                    </w:rPr>
                  </w:pPr>
                  <w:r>
                    <w:rPr>
                      <w:rFonts w:ascii="Century Gothic" w:hAnsi="Century Gothic"/>
                      <w:sz w:val="20"/>
                      <w:szCs w:val="20"/>
                    </w:rPr>
                    <w:t>2 624</w:t>
                  </w:r>
                </w:p>
              </w:tc>
            </w:tr>
            <w:tr w:rsidR="000169D7" w:rsidRPr="00CC6B8D" w:rsidTr="00A6117E">
              <w:trPr>
                <w:jc w:val="center"/>
              </w:trPr>
              <w:tc>
                <w:tcPr>
                  <w:tcW w:w="3005" w:type="dxa"/>
                  <w:vAlign w:val="center"/>
                </w:tcPr>
                <w:p w:rsidR="000169D7" w:rsidRPr="000169D7" w:rsidRDefault="000169D7" w:rsidP="000169D7">
                  <w:pPr>
                    <w:jc w:val="both"/>
                    <w:rPr>
                      <w:rFonts w:ascii="Century Gothic" w:hAnsi="Century Gothic" w:cs="Arial"/>
                      <w:sz w:val="20"/>
                      <w:szCs w:val="20"/>
                      <w:u w:val="single"/>
                    </w:rPr>
                  </w:pPr>
                  <w:r w:rsidRPr="000169D7">
                    <w:rPr>
                      <w:rFonts w:ascii="Century Gothic" w:hAnsi="Century Gothic" w:cs="Arial"/>
                      <w:color w:val="000000"/>
                      <w:sz w:val="20"/>
                      <w:szCs w:val="20"/>
                    </w:rPr>
                    <w:t>Gestion et comptabilité simplifiée</w:t>
                  </w:r>
                  <w:r w:rsidR="00EE7F20">
                    <w:rPr>
                      <w:rFonts w:ascii="Century Gothic" w:hAnsi="Century Gothic" w:cs="Arial"/>
                      <w:color w:val="000000"/>
                      <w:sz w:val="20"/>
                      <w:szCs w:val="20"/>
                    </w:rPr>
                    <w:t>s</w:t>
                  </w:r>
                </w:p>
              </w:tc>
              <w:tc>
                <w:tcPr>
                  <w:tcW w:w="1963" w:type="dxa"/>
                  <w:vAlign w:val="center"/>
                </w:tcPr>
                <w:p w:rsidR="000169D7" w:rsidRPr="000169D7" w:rsidRDefault="00A6117E" w:rsidP="00A6117E">
                  <w:pPr>
                    <w:tabs>
                      <w:tab w:val="left" w:pos="1008"/>
                    </w:tabs>
                    <w:ind w:left="284" w:hanging="284"/>
                    <w:jc w:val="center"/>
                    <w:rPr>
                      <w:rFonts w:ascii="Century Gothic" w:hAnsi="Century Gothic"/>
                      <w:sz w:val="20"/>
                      <w:szCs w:val="20"/>
                    </w:rPr>
                  </w:pPr>
                  <w:r>
                    <w:rPr>
                      <w:rFonts w:ascii="Century Gothic" w:hAnsi="Century Gothic"/>
                      <w:sz w:val="20"/>
                      <w:szCs w:val="20"/>
                    </w:rPr>
                    <w:t>177</w:t>
                  </w:r>
                </w:p>
              </w:tc>
              <w:tc>
                <w:tcPr>
                  <w:tcW w:w="1912" w:type="dxa"/>
                  <w:vAlign w:val="center"/>
                </w:tcPr>
                <w:p w:rsidR="000169D7" w:rsidRPr="000169D7" w:rsidRDefault="00A00D48" w:rsidP="00A6117E">
                  <w:pPr>
                    <w:tabs>
                      <w:tab w:val="left" w:pos="1008"/>
                    </w:tabs>
                    <w:ind w:left="284" w:hanging="284"/>
                    <w:jc w:val="center"/>
                    <w:rPr>
                      <w:rFonts w:ascii="Century Gothic" w:hAnsi="Century Gothic"/>
                      <w:sz w:val="20"/>
                      <w:szCs w:val="20"/>
                    </w:rPr>
                  </w:pPr>
                  <w:r>
                    <w:rPr>
                      <w:rFonts w:ascii="Century Gothic" w:hAnsi="Century Gothic"/>
                      <w:sz w:val="20"/>
                      <w:szCs w:val="20"/>
                    </w:rPr>
                    <w:t>2 580</w:t>
                  </w:r>
                </w:p>
              </w:tc>
              <w:tc>
                <w:tcPr>
                  <w:tcW w:w="1912" w:type="dxa"/>
                  <w:vAlign w:val="center"/>
                </w:tcPr>
                <w:p w:rsidR="000169D7" w:rsidRPr="000169D7" w:rsidRDefault="00A00D48" w:rsidP="00A6117E">
                  <w:pPr>
                    <w:tabs>
                      <w:tab w:val="left" w:pos="1008"/>
                    </w:tabs>
                    <w:ind w:left="284" w:hanging="284"/>
                    <w:jc w:val="center"/>
                    <w:rPr>
                      <w:rFonts w:ascii="Century Gothic" w:hAnsi="Century Gothic"/>
                      <w:sz w:val="20"/>
                      <w:szCs w:val="20"/>
                    </w:rPr>
                  </w:pPr>
                  <w:r>
                    <w:rPr>
                      <w:rFonts w:ascii="Century Gothic" w:hAnsi="Century Gothic"/>
                      <w:sz w:val="20"/>
                      <w:szCs w:val="20"/>
                    </w:rPr>
                    <w:t>2 757</w:t>
                  </w:r>
                </w:p>
              </w:tc>
            </w:tr>
            <w:tr w:rsidR="000169D7" w:rsidRPr="00CC6B8D" w:rsidTr="00A6117E">
              <w:trPr>
                <w:jc w:val="center"/>
              </w:trPr>
              <w:tc>
                <w:tcPr>
                  <w:tcW w:w="3005" w:type="dxa"/>
                  <w:vAlign w:val="center"/>
                </w:tcPr>
                <w:p w:rsidR="000169D7" w:rsidRPr="000169D7" w:rsidRDefault="000169D7" w:rsidP="000169D7">
                  <w:pPr>
                    <w:jc w:val="both"/>
                    <w:rPr>
                      <w:rFonts w:ascii="Century Gothic" w:hAnsi="Century Gothic" w:cs="Arial"/>
                      <w:sz w:val="20"/>
                      <w:szCs w:val="20"/>
                      <w:u w:val="single"/>
                    </w:rPr>
                  </w:pPr>
                  <w:r w:rsidRPr="000169D7">
                    <w:rPr>
                      <w:rFonts w:ascii="Century Gothic" w:hAnsi="Century Gothic" w:cs="Arial"/>
                      <w:color w:val="000000"/>
                      <w:sz w:val="20"/>
                      <w:szCs w:val="20"/>
                    </w:rPr>
                    <w:t>Marketing et commercialisation</w:t>
                  </w:r>
                </w:p>
              </w:tc>
              <w:tc>
                <w:tcPr>
                  <w:tcW w:w="1963" w:type="dxa"/>
                  <w:vAlign w:val="center"/>
                </w:tcPr>
                <w:p w:rsidR="000169D7" w:rsidRPr="000169D7" w:rsidRDefault="00A6117E" w:rsidP="00A6117E">
                  <w:pPr>
                    <w:ind w:left="35"/>
                    <w:jc w:val="center"/>
                    <w:rPr>
                      <w:rFonts w:ascii="Century Gothic" w:hAnsi="Century Gothic"/>
                      <w:sz w:val="20"/>
                      <w:szCs w:val="20"/>
                    </w:rPr>
                  </w:pPr>
                  <w:r>
                    <w:rPr>
                      <w:rFonts w:ascii="Century Gothic" w:hAnsi="Century Gothic"/>
                      <w:sz w:val="20"/>
                      <w:szCs w:val="20"/>
                    </w:rPr>
                    <w:t>31</w:t>
                  </w:r>
                </w:p>
              </w:tc>
              <w:tc>
                <w:tcPr>
                  <w:tcW w:w="1912" w:type="dxa"/>
                  <w:vAlign w:val="center"/>
                </w:tcPr>
                <w:p w:rsidR="000169D7" w:rsidRPr="000169D7" w:rsidRDefault="00A00D48" w:rsidP="00A6117E">
                  <w:pPr>
                    <w:tabs>
                      <w:tab w:val="left" w:pos="1008"/>
                    </w:tabs>
                    <w:ind w:left="284" w:hanging="284"/>
                    <w:jc w:val="center"/>
                    <w:rPr>
                      <w:rFonts w:ascii="Century Gothic" w:hAnsi="Century Gothic"/>
                      <w:sz w:val="20"/>
                      <w:szCs w:val="20"/>
                    </w:rPr>
                  </w:pPr>
                  <w:r>
                    <w:rPr>
                      <w:rFonts w:ascii="Century Gothic" w:hAnsi="Century Gothic"/>
                      <w:sz w:val="20"/>
                      <w:szCs w:val="20"/>
                    </w:rPr>
                    <w:t>2 180</w:t>
                  </w:r>
                </w:p>
              </w:tc>
              <w:tc>
                <w:tcPr>
                  <w:tcW w:w="1912" w:type="dxa"/>
                  <w:vAlign w:val="center"/>
                </w:tcPr>
                <w:p w:rsidR="000169D7" w:rsidRPr="000169D7" w:rsidRDefault="00A00D48" w:rsidP="00A6117E">
                  <w:pPr>
                    <w:tabs>
                      <w:tab w:val="left" w:pos="1008"/>
                    </w:tabs>
                    <w:ind w:left="284" w:hanging="284"/>
                    <w:jc w:val="center"/>
                    <w:rPr>
                      <w:rFonts w:ascii="Century Gothic" w:hAnsi="Century Gothic"/>
                      <w:sz w:val="20"/>
                      <w:szCs w:val="20"/>
                    </w:rPr>
                  </w:pPr>
                  <w:r>
                    <w:rPr>
                      <w:rFonts w:ascii="Century Gothic" w:hAnsi="Century Gothic"/>
                      <w:sz w:val="20"/>
                      <w:szCs w:val="20"/>
                    </w:rPr>
                    <w:t>2 211</w:t>
                  </w:r>
                </w:p>
              </w:tc>
            </w:tr>
            <w:tr w:rsidR="000169D7" w:rsidRPr="00CC6B8D" w:rsidTr="00A6117E">
              <w:trPr>
                <w:jc w:val="center"/>
              </w:trPr>
              <w:tc>
                <w:tcPr>
                  <w:tcW w:w="3005" w:type="dxa"/>
                  <w:vAlign w:val="center"/>
                </w:tcPr>
                <w:p w:rsidR="000169D7" w:rsidRPr="000169D7" w:rsidRDefault="000169D7" w:rsidP="000169D7">
                  <w:pPr>
                    <w:jc w:val="both"/>
                    <w:rPr>
                      <w:rFonts w:ascii="Century Gothic" w:hAnsi="Century Gothic" w:cs="Arial"/>
                      <w:sz w:val="20"/>
                      <w:szCs w:val="20"/>
                    </w:rPr>
                  </w:pPr>
                  <w:r w:rsidRPr="000169D7">
                    <w:rPr>
                      <w:rFonts w:ascii="Century Gothic" w:hAnsi="Century Gothic" w:cs="Arial"/>
                      <w:sz w:val="20"/>
                      <w:szCs w:val="20"/>
                    </w:rPr>
                    <w:t>Culture entrepreneuriale</w:t>
                  </w:r>
                </w:p>
              </w:tc>
              <w:tc>
                <w:tcPr>
                  <w:tcW w:w="1963" w:type="dxa"/>
                  <w:vAlign w:val="center"/>
                </w:tcPr>
                <w:p w:rsidR="000169D7" w:rsidRPr="000169D7" w:rsidRDefault="00A6117E" w:rsidP="00A6117E">
                  <w:pPr>
                    <w:tabs>
                      <w:tab w:val="left" w:pos="1008"/>
                    </w:tabs>
                    <w:ind w:left="284" w:hanging="284"/>
                    <w:jc w:val="center"/>
                    <w:rPr>
                      <w:rFonts w:ascii="Century Gothic" w:hAnsi="Century Gothic"/>
                      <w:sz w:val="20"/>
                      <w:szCs w:val="20"/>
                    </w:rPr>
                  </w:pPr>
                  <w:r>
                    <w:rPr>
                      <w:rFonts w:ascii="Century Gothic" w:hAnsi="Century Gothic"/>
                      <w:sz w:val="20"/>
                      <w:szCs w:val="20"/>
                    </w:rPr>
                    <w:t>31</w:t>
                  </w:r>
                </w:p>
              </w:tc>
              <w:tc>
                <w:tcPr>
                  <w:tcW w:w="1912" w:type="dxa"/>
                  <w:vAlign w:val="center"/>
                </w:tcPr>
                <w:p w:rsidR="000169D7" w:rsidRPr="000169D7" w:rsidRDefault="00A00D48" w:rsidP="00A6117E">
                  <w:pPr>
                    <w:tabs>
                      <w:tab w:val="left" w:pos="1008"/>
                    </w:tabs>
                    <w:ind w:left="284" w:hanging="284"/>
                    <w:jc w:val="center"/>
                    <w:rPr>
                      <w:rFonts w:ascii="Century Gothic" w:hAnsi="Century Gothic"/>
                      <w:sz w:val="20"/>
                      <w:szCs w:val="20"/>
                    </w:rPr>
                  </w:pPr>
                  <w:r>
                    <w:rPr>
                      <w:rFonts w:ascii="Century Gothic" w:hAnsi="Century Gothic"/>
                      <w:sz w:val="20"/>
                      <w:szCs w:val="20"/>
                    </w:rPr>
                    <w:t>3 087</w:t>
                  </w:r>
                </w:p>
              </w:tc>
              <w:tc>
                <w:tcPr>
                  <w:tcW w:w="1912" w:type="dxa"/>
                  <w:vAlign w:val="center"/>
                </w:tcPr>
                <w:p w:rsidR="000169D7" w:rsidRPr="000169D7" w:rsidRDefault="00A00D48" w:rsidP="00A6117E">
                  <w:pPr>
                    <w:tabs>
                      <w:tab w:val="left" w:pos="1008"/>
                    </w:tabs>
                    <w:ind w:left="284" w:hanging="284"/>
                    <w:jc w:val="center"/>
                    <w:rPr>
                      <w:rFonts w:ascii="Century Gothic" w:hAnsi="Century Gothic"/>
                      <w:sz w:val="20"/>
                      <w:szCs w:val="20"/>
                    </w:rPr>
                  </w:pPr>
                  <w:r>
                    <w:rPr>
                      <w:rFonts w:ascii="Century Gothic" w:hAnsi="Century Gothic"/>
                      <w:sz w:val="20"/>
                      <w:szCs w:val="20"/>
                    </w:rPr>
                    <w:t>3 118</w:t>
                  </w:r>
                </w:p>
              </w:tc>
            </w:tr>
            <w:tr w:rsidR="000169D7" w:rsidRPr="00C25655" w:rsidTr="00A6117E">
              <w:trPr>
                <w:jc w:val="center"/>
              </w:trPr>
              <w:tc>
                <w:tcPr>
                  <w:tcW w:w="3005" w:type="dxa"/>
                  <w:vAlign w:val="center"/>
                </w:tcPr>
                <w:p w:rsidR="000169D7" w:rsidRPr="000169D7" w:rsidRDefault="000169D7" w:rsidP="000169D7">
                  <w:pPr>
                    <w:jc w:val="both"/>
                    <w:rPr>
                      <w:rFonts w:ascii="Century Gothic" w:hAnsi="Century Gothic" w:cs="Arial"/>
                      <w:sz w:val="20"/>
                      <w:szCs w:val="20"/>
                      <w:lang w:val="fr-FR"/>
                    </w:rPr>
                  </w:pPr>
                  <w:r w:rsidRPr="000169D7">
                    <w:rPr>
                      <w:rFonts w:ascii="Century Gothic" w:hAnsi="Century Gothic" w:cs="Arial"/>
                      <w:sz w:val="20"/>
                      <w:szCs w:val="20"/>
                      <w:lang w:val="fr-FR"/>
                    </w:rPr>
                    <w:t>Culture d'épargne et de crédit</w:t>
                  </w:r>
                </w:p>
              </w:tc>
              <w:tc>
                <w:tcPr>
                  <w:tcW w:w="1963" w:type="dxa"/>
                  <w:vAlign w:val="center"/>
                </w:tcPr>
                <w:p w:rsidR="000169D7" w:rsidRPr="000169D7" w:rsidRDefault="000169D7" w:rsidP="00A6117E">
                  <w:pPr>
                    <w:tabs>
                      <w:tab w:val="left" w:pos="1008"/>
                    </w:tabs>
                    <w:ind w:left="284" w:hanging="284"/>
                    <w:jc w:val="center"/>
                    <w:rPr>
                      <w:rFonts w:ascii="Century Gothic" w:hAnsi="Century Gothic"/>
                      <w:sz w:val="20"/>
                      <w:szCs w:val="20"/>
                      <w:lang w:val="fr-FR"/>
                    </w:rPr>
                  </w:pPr>
                </w:p>
              </w:tc>
              <w:tc>
                <w:tcPr>
                  <w:tcW w:w="1912" w:type="dxa"/>
                  <w:vAlign w:val="center"/>
                </w:tcPr>
                <w:p w:rsidR="000169D7" w:rsidRPr="000169D7" w:rsidRDefault="00A00D48" w:rsidP="00A6117E">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3059</w:t>
                  </w:r>
                </w:p>
              </w:tc>
              <w:tc>
                <w:tcPr>
                  <w:tcW w:w="1912" w:type="dxa"/>
                  <w:vAlign w:val="center"/>
                </w:tcPr>
                <w:p w:rsidR="000169D7" w:rsidRPr="000169D7" w:rsidRDefault="00A00D48" w:rsidP="00A6117E">
                  <w:pPr>
                    <w:tabs>
                      <w:tab w:val="left" w:pos="1008"/>
                    </w:tabs>
                    <w:ind w:left="284" w:hanging="284"/>
                    <w:jc w:val="center"/>
                    <w:rPr>
                      <w:rFonts w:ascii="Century Gothic" w:hAnsi="Century Gothic"/>
                      <w:sz w:val="20"/>
                      <w:szCs w:val="20"/>
                      <w:lang w:val="fr-FR"/>
                    </w:rPr>
                  </w:pPr>
                  <w:r>
                    <w:rPr>
                      <w:rFonts w:ascii="Century Gothic" w:hAnsi="Century Gothic"/>
                      <w:sz w:val="20"/>
                      <w:szCs w:val="20"/>
                      <w:lang w:val="fr-FR"/>
                    </w:rPr>
                    <w:t>3 059</w:t>
                  </w:r>
                </w:p>
              </w:tc>
            </w:tr>
          </w:tbl>
          <w:p w:rsidR="000169D7" w:rsidRDefault="000169D7" w:rsidP="000169D7">
            <w:pPr>
              <w:tabs>
                <w:tab w:val="left" w:pos="1008"/>
              </w:tabs>
              <w:ind w:left="66"/>
              <w:jc w:val="both"/>
              <w:rPr>
                <w:rFonts w:ascii="Century Gothic" w:hAnsi="Century Gothic"/>
                <w:sz w:val="20"/>
                <w:szCs w:val="20"/>
                <w:lang w:val="fr-FR"/>
              </w:rPr>
            </w:pPr>
          </w:p>
          <w:p w:rsidR="00A1346D" w:rsidRPr="000169D7" w:rsidRDefault="00A1346D" w:rsidP="000169D7">
            <w:pPr>
              <w:tabs>
                <w:tab w:val="left" w:pos="1008"/>
              </w:tabs>
              <w:ind w:left="66"/>
              <w:jc w:val="both"/>
              <w:rPr>
                <w:rFonts w:ascii="Century Gothic" w:hAnsi="Century Gothic"/>
                <w:sz w:val="20"/>
                <w:szCs w:val="20"/>
                <w:lang w:val="fr-FR"/>
              </w:rPr>
            </w:pPr>
          </w:p>
          <w:p w:rsidR="000169D7" w:rsidRPr="000169D7" w:rsidRDefault="000169D7" w:rsidP="000169D7">
            <w:pPr>
              <w:jc w:val="both"/>
              <w:rPr>
                <w:rFonts w:ascii="Century Gothic" w:hAnsi="Century Gothic"/>
                <w:sz w:val="20"/>
                <w:szCs w:val="20"/>
                <w:lang w:val="fr-FR"/>
              </w:rPr>
            </w:pPr>
            <w:r w:rsidRPr="000169D7">
              <w:rPr>
                <w:rFonts w:ascii="Century Gothic" w:hAnsi="Century Gothic"/>
                <w:sz w:val="20"/>
                <w:szCs w:val="20"/>
                <w:lang w:val="fr-FR"/>
              </w:rPr>
              <w:t xml:space="preserve">Pour les 3 thèmes : techniques de production et qualité, gestion simplifiée, marketing et commercialisation, les objectifs du projet ont été atteints respectivement à </w:t>
            </w:r>
            <w:r w:rsidR="00993750" w:rsidRPr="00993750">
              <w:rPr>
                <w:rFonts w:ascii="Century Gothic" w:hAnsi="Century Gothic"/>
                <w:sz w:val="20"/>
                <w:szCs w:val="20"/>
                <w:lang w:val="fr-FR"/>
              </w:rPr>
              <w:t>131,2</w:t>
            </w:r>
            <w:r w:rsidRPr="000169D7">
              <w:rPr>
                <w:rFonts w:ascii="Century Gothic" w:hAnsi="Century Gothic"/>
                <w:sz w:val="20"/>
                <w:szCs w:val="20"/>
                <w:lang w:val="fr-FR"/>
              </w:rPr>
              <w:t xml:space="preserve">%, </w:t>
            </w:r>
            <w:r w:rsidR="00993750" w:rsidRPr="00993750">
              <w:rPr>
                <w:rFonts w:ascii="Century Gothic" w:hAnsi="Century Gothic"/>
                <w:sz w:val="20"/>
                <w:szCs w:val="20"/>
                <w:lang w:val="fr-FR"/>
              </w:rPr>
              <w:t>91,9</w:t>
            </w:r>
            <w:r w:rsidRPr="000169D7">
              <w:rPr>
                <w:rFonts w:ascii="Century Gothic" w:hAnsi="Century Gothic"/>
                <w:sz w:val="20"/>
                <w:szCs w:val="20"/>
                <w:lang w:val="fr-FR"/>
              </w:rPr>
              <w:t xml:space="preserve">% et </w:t>
            </w:r>
            <w:r w:rsidRPr="00993750">
              <w:rPr>
                <w:rFonts w:ascii="Century Gothic" w:hAnsi="Century Gothic"/>
                <w:sz w:val="20"/>
                <w:szCs w:val="20"/>
                <w:lang w:val="fr-FR"/>
              </w:rPr>
              <w:t>101</w:t>
            </w:r>
            <w:r w:rsidRPr="000169D7">
              <w:rPr>
                <w:rFonts w:ascii="Century Gothic" w:hAnsi="Century Gothic"/>
                <w:sz w:val="20"/>
                <w:szCs w:val="20"/>
                <w:lang w:val="fr-FR"/>
              </w:rPr>
              <w:t xml:space="preserve">%. Environ </w:t>
            </w:r>
            <w:r w:rsidR="00993750">
              <w:rPr>
                <w:rFonts w:ascii="Century Gothic" w:hAnsi="Century Gothic"/>
                <w:sz w:val="20"/>
                <w:szCs w:val="20"/>
                <w:lang w:val="fr-FR"/>
              </w:rPr>
              <w:t>19,12</w:t>
            </w:r>
            <w:r w:rsidRPr="000169D7">
              <w:rPr>
                <w:rFonts w:ascii="Century Gothic" w:hAnsi="Century Gothic"/>
                <w:sz w:val="20"/>
                <w:szCs w:val="20"/>
                <w:lang w:val="fr-FR"/>
              </w:rPr>
              <w:t>% des MER validées (</w:t>
            </w:r>
            <w:r w:rsidR="00A00D48" w:rsidRPr="00A00D48">
              <w:rPr>
                <w:rFonts w:ascii="Century Gothic" w:hAnsi="Century Gothic"/>
                <w:sz w:val="20"/>
                <w:szCs w:val="20"/>
                <w:lang w:val="fr-FR"/>
              </w:rPr>
              <w:t>14</w:t>
            </w:r>
            <w:r w:rsidR="00A00D48">
              <w:rPr>
                <w:rFonts w:ascii="Century Gothic" w:hAnsi="Century Gothic"/>
                <w:sz w:val="20"/>
                <w:szCs w:val="20"/>
                <w:lang w:val="fr-FR"/>
              </w:rPr>
              <w:t xml:space="preserve"> </w:t>
            </w:r>
            <w:r w:rsidR="00A00D48" w:rsidRPr="00A00D48">
              <w:rPr>
                <w:rFonts w:ascii="Century Gothic" w:hAnsi="Century Gothic"/>
                <w:sz w:val="20"/>
                <w:szCs w:val="20"/>
                <w:lang w:val="fr-FR"/>
              </w:rPr>
              <w:t>419</w:t>
            </w:r>
            <w:r w:rsidRPr="00A00D48">
              <w:rPr>
                <w:rFonts w:ascii="Century Gothic" w:hAnsi="Century Gothic"/>
                <w:sz w:val="20"/>
                <w:szCs w:val="20"/>
                <w:lang w:val="fr-FR"/>
              </w:rPr>
              <w:t xml:space="preserve"> </w:t>
            </w:r>
            <w:r w:rsidRPr="000169D7">
              <w:rPr>
                <w:rFonts w:ascii="Century Gothic" w:hAnsi="Century Gothic"/>
                <w:sz w:val="20"/>
                <w:szCs w:val="20"/>
                <w:lang w:val="fr-FR"/>
              </w:rPr>
              <w:t>MER) ont été formées en gestion simplifiée (</w:t>
            </w:r>
            <w:r w:rsidR="00993750">
              <w:rPr>
                <w:rFonts w:ascii="Century Gothic" w:hAnsi="Century Gothic"/>
                <w:sz w:val="20"/>
                <w:szCs w:val="20"/>
                <w:lang w:val="fr-FR"/>
              </w:rPr>
              <w:t xml:space="preserve">2 757 </w:t>
            </w:r>
            <w:r w:rsidRPr="000169D7">
              <w:rPr>
                <w:rFonts w:ascii="Century Gothic" w:hAnsi="Century Gothic"/>
                <w:sz w:val="20"/>
                <w:szCs w:val="20"/>
                <w:lang w:val="fr-FR"/>
              </w:rPr>
              <w:t xml:space="preserve">MER), </w:t>
            </w:r>
            <w:r w:rsidR="00993750" w:rsidRPr="00993750">
              <w:rPr>
                <w:rFonts w:ascii="Century Gothic" w:hAnsi="Century Gothic"/>
                <w:sz w:val="20"/>
                <w:szCs w:val="20"/>
                <w:lang w:val="fr-FR"/>
              </w:rPr>
              <w:t>15,33</w:t>
            </w:r>
            <w:r w:rsidRPr="000169D7">
              <w:rPr>
                <w:rFonts w:ascii="Century Gothic" w:hAnsi="Century Gothic"/>
                <w:sz w:val="20"/>
                <w:szCs w:val="20"/>
                <w:lang w:val="fr-FR"/>
              </w:rPr>
              <w:t>% en marketing et commercialisation (</w:t>
            </w:r>
            <w:r w:rsidR="00993750" w:rsidRPr="00993750">
              <w:rPr>
                <w:rFonts w:ascii="Century Gothic" w:hAnsi="Century Gothic"/>
                <w:sz w:val="20"/>
                <w:szCs w:val="20"/>
                <w:lang w:val="fr-FR"/>
              </w:rPr>
              <w:t>2 211</w:t>
            </w:r>
            <w:r w:rsidRPr="000169D7">
              <w:rPr>
                <w:rFonts w:ascii="Century Gothic" w:hAnsi="Century Gothic"/>
                <w:sz w:val="20"/>
                <w:szCs w:val="20"/>
                <w:lang w:val="fr-FR"/>
              </w:rPr>
              <w:t xml:space="preserve"> MER), et </w:t>
            </w:r>
            <w:r w:rsidR="00993750" w:rsidRPr="00993750">
              <w:rPr>
                <w:rFonts w:ascii="Century Gothic" w:hAnsi="Century Gothic"/>
                <w:sz w:val="20"/>
                <w:szCs w:val="20"/>
                <w:lang w:val="fr-FR"/>
              </w:rPr>
              <w:t>18,19</w:t>
            </w:r>
            <w:r w:rsidRPr="000169D7">
              <w:rPr>
                <w:rFonts w:ascii="Century Gothic" w:hAnsi="Century Gothic"/>
                <w:sz w:val="20"/>
                <w:szCs w:val="20"/>
                <w:lang w:val="fr-FR"/>
              </w:rPr>
              <w:t>% en techniques de production et qualité (</w:t>
            </w:r>
            <w:r w:rsidR="00993750" w:rsidRPr="00993750">
              <w:rPr>
                <w:rFonts w:ascii="Century Gothic" w:hAnsi="Century Gothic"/>
                <w:sz w:val="20"/>
                <w:szCs w:val="20"/>
                <w:lang w:val="fr-FR"/>
              </w:rPr>
              <w:t>2</w:t>
            </w:r>
            <w:r w:rsidR="00993750">
              <w:rPr>
                <w:rFonts w:ascii="Century Gothic" w:hAnsi="Century Gothic"/>
                <w:sz w:val="20"/>
                <w:szCs w:val="20"/>
                <w:lang w:val="fr-FR"/>
              </w:rPr>
              <w:t> </w:t>
            </w:r>
            <w:r w:rsidR="00993750" w:rsidRPr="00993750">
              <w:rPr>
                <w:rFonts w:ascii="Century Gothic" w:hAnsi="Century Gothic"/>
                <w:sz w:val="20"/>
                <w:szCs w:val="20"/>
                <w:lang w:val="fr-FR"/>
              </w:rPr>
              <w:t>624</w:t>
            </w:r>
            <w:r w:rsidR="00993750" w:rsidRPr="000169D7">
              <w:rPr>
                <w:rFonts w:ascii="Century Gothic" w:hAnsi="Century Gothic"/>
                <w:sz w:val="20"/>
                <w:szCs w:val="20"/>
                <w:lang w:val="fr-FR"/>
              </w:rPr>
              <w:t xml:space="preserve"> </w:t>
            </w:r>
            <w:r w:rsidRPr="000169D7">
              <w:rPr>
                <w:rFonts w:ascii="Century Gothic" w:hAnsi="Century Gothic"/>
                <w:sz w:val="20"/>
                <w:szCs w:val="20"/>
                <w:lang w:val="fr-FR"/>
              </w:rPr>
              <w:t xml:space="preserve">MER). D’autres formations non prévues dans le PTBA 2009 ont été dispensées aux MER. Il s’agit des formations en culture entrepreneuriale et culture d’épargne/crédit qui ont été dispensées à environ </w:t>
            </w:r>
            <w:r w:rsidR="00C61385" w:rsidRPr="00C61385">
              <w:rPr>
                <w:rFonts w:ascii="Century Gothic" w:hAnsi="Century Gothic"/>
                <w:sz w:val="20"/>
                <w:szCs w:val="20"/>
                <w:lang w:val="fr-FR"/>
              </w:rPr>
              <w:t>21</w:t>
            </w:r>
            <w:r w:rsidRPr="000169D7">
              <w:rPr>
                <w:rFonts w:ascii="Century Gothic" w:hAnsi="Century Gothic"/>
                <w:sz w:val="20"/>
                <w:szCs w:val="20"/>
                <w:lang w:val="fr-FR"/>
              </w:rPr>
              <w:t xml:space="preserve">% des MER validées. </w:t>
            </w:r>
          </w:p>
          <w:p w:rsidR="000169D7" w:rsidRPr="000169D7" w:rsidRDefault="000169D7" w:rsidP="000169D7">
            <w:pPr>
              <w:pStyle w:val="IFADparagraphnumbering"/>
              <w:numPr>
                <w:ilvl w:val="0"/>
                <w:numId w:val="0"/>
              </w:numPr>
              <w:spacing w:after="0"/>
              <w:rPr>
                <w:rFonts w:ascii="Century Gothic" w:hAnsi="Century Gothic"/>
                <w:sz w:val="20"/>
                <w:lang w:val="fr-FR"/>
              </w:rPr>
            </w:pPr>
            <w:r w:rsidRPr="000169D7">
              <w:rPr>
                <w:rFonts w:ascii="Century Gothic" w:hAnsi="Century Gothic"/>
                <w:sz w:val="20"/>
                <w:lang w:val="fr-FR"/>
              </w:rPr>
              <w:t>Mais concernant l’aspect qualitatif  du renforcement de capacité des MER/PER, le Programme, pour avoir une meilleure adéquation des offres de formation en fonction de la catégorie des MER/PER, va rapidement prendre en considération le classement des MER validées par catégorie (naissantes, à potentiel, et en croissance). Ceci permettra en effet de fournir des appuis différenciés aux MER en fonction de leur stade de développement. De même, l’élaboration du référentiel harmonisé de formation tenant compte de la typologie des MER figure dans la priorité du Programme pour 2010.</w:t>
            </w:r>
          </w:p>
          <w:p w:rsidR="000169D7" w:rsidRPr="000169D7" w:rsidRDefault="000169D7" w:rsidP="000169D7">
            <w:pPr>
              <w:pStyle w:val="IFADparagraphnumbering"/>
              <w:numPr>
                <w:ilvl w:val="0"/>
                <w:numId w:val="0"/>
              </w:numPr>
              <w:spacing w:after="0"/>
              <w:rPr>
                <w:rFonts w:ascii="Century Gothic" w:hAnsi="Century Gothic"/>
                <w:lang w:val="fr-FR"/>
              </w:rPr>
            </w:pPr>
          </w:p>
          <w:p w:rsidR="000169D7" w:rsidRPr="000169D7" w:rsidRDefault="000169D7" w:rsidP="000169D7">
            <w:pPr>
              <w:jc w:val="both"/>
              <w:rPr>
                <w:rFonts w:ascii="Century Gothic" w:hAnsi="Century Gothic" w:cs="Arial"/>
                <w:iCs/>
                <w:color w:val="000000"/>
                <w:sz w:val="20"/>
                <w:szCs w:val="20"/>
                <w:lang w:val="fr-FR" w:eastAsia="fr-FR"/>
              </w:rPr>
            </w:pPr>
            <w:r w:rsidRPr="000169D7">
              <w:rPr>
                <w:rFonts w:ascii="Century Gothic" w:hAnsi="Century Gothic"/>
                <w:sz w:val="20"/>
                <w:szCs w:val="20"/>
                <w:lang w:val="fr-FR"/>
              </w:rPr>
              <w:t>Sous composante 22 :</w:t>
            </w:r>
            <w:r w:rsidRPr="000169D7">
              <w:rPr>
                <w:rFonts w:ascii="Century Gothic" w:hAnsi="Century Gothic"/>
                <w:lang w:val="fr-FR"/>
              </w:rPr>
              <w:t xml:space="preserve"> </w:t>
            </w:r>
            <w:r w:rsidRPr="000169D7">
              <w:rPr>
                <w:rFonts w:ascii="Century Gothic" w:hAnsi="Century Gothic" w:cs="Arial"/>
                <w:iCs/>
                <w:color w:val="000000"/>
                <w:sz w:val="20"/>
                <w:szCs w:val="20"/>
                <w:lang w:val="fr-FR" w:eastAsia="fr-FR"/>
              </w:rPr>
              <w:t>FORMATION PROFESSIONNELLE ET APPRENTISSAGES FONDAMENTAUX</w:t>
            </w:r>
          </w:p>
          <w:p w:rsidR="000169D7" w:rsidRPr="000169D7" w:rsidRDefault="000169D7" w:rsidP="000169D7">
            <w:pPr>
              <w:pStyle w:val="IFADparagraphnumbering"/>
              <w:numPr>
                <w:ilvl w:val="0"/>
                <w:numId w:val="0"/>
              </w:numPr>
              <w:spacing w:after="0"/>
              <w:rPr>
                <w:rFonts w:ascii="Century Gothic" w:hAnsi="Century Gothic"/>
                <w:lang w:val="fr-FR"/>
              </w:rPr>
            </w:pPr>
          </w:p>
          <w:p w:rsidR="000169D7" w:rsidRPr="00952681" w:rsidRDefault="000169D7" w:rsidP="006247B1">
            <w:pPr>
              <w:pStyle w:val="Paragraphedeliste"/>
              <w:numPr>
                <w:ilvl w:val="0"/>
                <w:numId w:val="10"/>
              </w:numPr>
              <w:ind w:left="426"/>
              <w:jc w:val="both"/>
              <w:rPr>
                <w:rFonts w:ascii="Century Gothic" w:hAnsi="Century Gothic"/>
                <w:sz w:val="20"/>
                <w:szCs w:val="20"/>
              </w:rPr>
            </w:pPr>
            <w:r w:rsidRPr="00952681">
              <w:rPr>
                <w:rFonts w:ascii="Century Gothic" w:hAnsi="Century Gothic"/>
                <w:sz w:val="20"/>
                <w:szCs w:val="20"/>
              </w:rPr>
              <w:t xml:space="preserve">Les objectifs de renforcement des capacités des PSE en alphabétisation prévus dans le PTBA 2009 ont été atteints à 92% (71 PSE formés contre 76 prévus). De même, les objectifs du PTBA 2009 ont été atteints respectivement à </w:t>
            </w:r>
            <w:r w:rsidR="00DD4B37">
              <w:rPr>
                <w:rFonts w:ascii="Century Gothic" w:hAnsi="Century Gothic"/>
                <w:sz w:val="20"/>
                <w:szCs w:val="20"/>
              </w:rPr>
              <w:t>83</w:t>
            </w:r>
            <w:r w:rsidRPr="00952681">
              <w:rPr>
                <w:rFonts w:ascii="Century Gothic" w:hAnsi="Century Gothic"/>
                <w:sz w:val="20"/>
                <w:szCs w:val="20"/>
              </w:rPr>
              <w:t>% pour les jeunes alphabétisés (</w:t>
            </w:r>
            <w:r w:rsidR="00DD4B37">
              <w:rPr>
                <w:rFonts w:ascii="Century Gothic" w:hAnsi="Century Gothic"/>
                <w:sz w:val="20"/>
                <w:szCs w:val="20"/>
              </w:rPr>
              <w:t>475</w:t>
            </w:r>
            <w:r w:rsidRPr="00952681">
              <w:rPr>
                <w:rFonts w:ascii="Century Gothic" w:hAnsi="Century Gothic"/>
                <w:sz w:val="20"/>
                <w:szCs w:val="20"/>
              </w:rPr>
              <w:t xml:space="preserve"> sur 570 prévus) et à 1</w:t>
            </w:r>
            <w:r w:rsidR="00DD4B37">
              <w:rPr>
                <w:rFonts w:ascii="Century Gothic" w:hAnsi="Century Gothic"/>
                <w:sz w:val="20"/>
                <w:szCs w:val="20"/>
              </w:rPr>
              <w:t>32</w:t>
            </w:r>
            <w:r w:rsidRPr="00952681">
              <w:rPr>
                <w:rFonts w:ascii="Century Gothic" w:hAnsi="Century Gothic"/>
                <w:sz w:val="20"/>
                <w:szCs w:val="20"/>
              </w:rPr>
              <w:t>% pour les adultes (</w:t>
            </w:r>
            <w:r w:rsidR="00DD4B37">
              <w:rPr>
                <w:rFonts w:ascii="Century Gothic" w:hAnsi="Century Gothic"/>
                <w:sz w:val="20"/>
                <w:szCs w:val="20"/>
              </w:rPr>
              <w:t>753</w:t>
            </w:r>
            <w:r w:rsidRPr="00952681">
              <w:rPr>
                <w:rFonts w:ascii="Century Gothic" w:hAnsi="Century Gothic"/>
                <w:sz w:val="20"/>
                <w:szCs w:val="20"/>
              </w:rPr>
              <w:t xml:space="preserve"> sur 570 prévus). La plupart des sessions d’alphabétisation ont démarré en août/septembre 2009. La durée des sessions est respectivement de 6 mois pour les adultes et 13 mois pour les jeunes. Les sessions d’apprentissage ont démarré à partir de juillet 2009. Mais pour garantir la qualité du programme d’alphabétisation et en vue d’évaluer les performances des PSE en alphabétisation, le Programme va recourir aux prestations des encadreurs techniques agréés pour toutes les régions.</w:t>
            </w:r>
          </w:p>
          <w:p w:rsidR="000169D7" w:rsidRPr="00952681" w:rsidRDefault="000169D7" w:rsidP="006247B1">
            <w:pPr>
              <w:pStyle w:val="Paragraphedeliste"/>
              <w:numPr>
                <w:ilvl w:val="0"/>
                <w:numId w:val="10"/>
              </w:numPr>
              <w:ind w:left="426"/>
              <w:jc w:val="both"/>
              <w:rPr>
                <w:rFonts w:ascii="Century Gothic" w:eastAsia="Times New Roman" w:hAnsi="Century Gothic"/>
                <w:sz w:val="20"/>
                <w:szCs w:val="20"/>
              </w:rPr>
            </w:pPr>
            <w:r w:rsidRPr="00952681">
              <w:rPr>
                <w:rFonts w:ascii="Century Gothic" w:hAnsi="Century Gothic"/>
                <w:sz w:val="20"/>
                <w:szCs w:val="20"/>
              </w:rPr>
              <w:t>Sur les 500 jeunes prévus pour la formati</w:t>
            </w:r>
            <w:r w:rsidR="00DD4B37">
              <w:rPr>
                <w:rFonts w:ascii="Century Gothic" w:hAnsi="Century Gothic"/>
                <w:sz w:val="20"/>
                <w:szCs w:val="20"/>
              </w:rPr>
              <w:t>on en apprentissage en 2009, 421</w:t>
            </w:r>
            <w:r w:rsidRPr="00952681">
              <w:rPr>
                <w:rFonts w:ascii="Century Gothic" w:hAnsi="Century Gothic"/>
                <w:sz w:val="20"/>
                <w:szCs w:val="20"/>
              </w:rPr>
              <w:t xml:space="preserve"> ont été formés, soit un taux de réalisation de 84%. Les métiers les plus fréquentés par les apprentis incluent la couture/broderie, la vannerie, la menuiserie, la mécanique auto, et l’apiculture. Pour 2010 des mesures d’accompagnement des apprentis formés devront être prises, notamment la mise à disposition d’un kit de démarrage, la formation en culture entrepreneuriale, l’appui à la création d’entreprise, et la facilitation de l’accès à un crédit « coup de pouce »</w:t>
            </w:r>
          </w:p>
          <w:p w:rsidR="000169D7" w:rsidRDefault="000169D7" w:rsidP="000169D7">
            <w:pPr>
              <w:rPr>
                <w:rFonts w:ascii="Century Gothic" w:hAnsi="Century Gothic"/>
                <w:sz w:val="20"/>
                <w:szCs w:val="20"/>
                <w:lang w:val="fr-FR"/>
              </w:rPr>
            </w:pPr>
            <w:r w:rsidRPr="000169D7">
              <w:rPr>
                <w:rFonts w:ascii="Century Gothic" w:hAnsi="Century Gothic"/>
                <w:b/>
                <w:sz w:val="20"/>
                <w:szCs w:val="20"/>
                <w:u w:val="single"/>
                <w:lang w:val="fr-FR"/>
              </w:rPr>
              <w:t>En termes de Produits issus des activités</w:t>
            </w:r>
            <w:r>
              <w:rPr>
                <w:rFonts w:ascii="Century Gothic" w:hAnsi="Century Gothic"/>
                <w:b/>
                <w:i/>
                <w:sz w:val="20"/>
                <w:szCs w:val="20"/>
                <w:lang w:val="fr-FR"/>
              </w:rPr>
              <w:t> </w:t>
            </w:r>
          </w:p>
          <w:p w:rsidR="00A1346D" w:rsidRDefault="00A1346D" w:rsidP="00153C73">
            <w:pPr>
              <w:jc w:val="both"/>
              <w:rPr>
                <w:rFonts w:ascii="Century Gothic" w:hAnsi="Century Gothic"/>
                <w:sz w:val="20"/>
                <w:szCs w:val="20"/>
                <w:lang w:val="fr-FR"/>
              </w:rPr>
            </w:pPr>
          </w:p>
          <w:p w:rsidR="00A1346D" w:rsidRDefault="00A1346D" w:rsidP="00153C73">
            <w:pPr>
              <w:jc w:val="both"/>
              <w:rPr>
                <w:rFonts w:ascii="Century Gothic" w:hAnsi="Century Gothic"/>
                <w:sz w:val="20"/>
                <w:szCs w:val="20"/>
              </w:rPr>
            </w:pPr>
            <w:r w:rsidRPr="000169D7">
              <w:rPr>
                <w:rFonts w:ascii="Century Gothic" w:hAnsi="Century Gothic"/>
                <w:sz w:val="20"/>
                <w:szCs w:val="20"/>
                <w:lang w:val="fr-FR"/>
              </w:rPr>
              <w:t xml:space="preserve">Tous les Produits issus de la mise en œuvre de ces activités ne sont pas encore atteints en 2009 faute de retard de démarrage dû à la crise politique. </w:t>
            </w:r>
            <w:r>
              <w:rPr>
                <w:rFonts w:ascii="Century Gothic" w:hAnsi="Century Gothic"/>
                <w:sz w:val="20"/>
                <w:szCs w:val="20"/>
              </w:rPr>
              <w:t xml:space="preserve">Pourtant </w:t>
            </w:r>
            <w:r w:rsidR="00153C73">
              <w:rPr>
                <w:rFonts w:ascii="Century Gothic" w:hAnsi="Century Gothic"/>
                <w:sz w:val="20"/>
                <w:szCs w:val="20"/>
              </w:rPr>
              <w:t>le produit</w:t>
            </w:r>
            <w:r>
              <w:rPr>
                <w:rFonts w:ascii="Century Gothic" w:hAnsi="Century Gothic"/>
                <w:sz w:val="20"/>
                <w:szCs w:val="20"/>
              </w:rPr>
              <w:t xml:space="preserve"> ci-après </w:t>
            </w:r>
            <w:r w:rsidR="00153C73">
              <w:rPr>
                <w:rFonts w:ascii="Century Gothic" w:hAnsi="Century Gothic"/>
                <w:sz w:val="20"/>
                <w:szCs w:val="20"/>
              </w:rPr>
              <w:t>est déjà palpable</w:t>
            </w:r>
            <w:r>
              <w:rPr>
                <w:rFonts w:ascii="Century Gothic" w:hAnsi="Century Gothic"/>
                <w:sz w:val="20"/>
                <w:szCs w:val="20"/>
              </w:rPr>
              <w:t> :</w:t>
            </w:r>
          </w:p>
          <w:p w:rsidR="00153C73" w:rsidRDefault="00153C73" w:rsidP="006247B1">
            <w:pPr>
              <w:numPr>
                <w:ilvl w:val="0"/>
                <w:numId w:val="21"/>
              </w:numPr>
              <w:jc w:val="both"/>
              <w:rPr>
                <w:rFonts w:ascii="Century Gothic" w:hAnsi="Century Gothic"/>
                <w:sz w:val="20"/>
                <w:szCs w:val="20"/>
                <w:lang w:val="fr-FR"/>
              </w:rPr>
            </w:pPr>
            <w:r w:rsidRPr="00153C73">
              <w:rPr>
                <w:rFonts w:ascii="Century Gothic" w:hAnsi="Century Gothic"/>
                <w:sz w:val="20"/>
                <w:szCs w:val="20"/>
                <w:lang w:val="fr-FR"/>
              </w:rPr>
              <w:t xml:space="preserve">Les PSE agréés rendent </w:t>
            </w:r>
            <w:r>
              <w:rPr>
                <w:rFonts w:ascii="Century Gothic" w:hAnsi="Century Gothic"/>
                <w:sz w:val="20"/>
                <w:szCs w:val="20"/>
                <w:lang w:val="fr-FR"/>
              </w:rPr>
              <w:t xml:space="preserve">déjà </w:t>
            </w:r>
            <w:r w:rsidRPr="00153C73">
              <w:rPr>
                <w:rFonts w:ascii="Century Gothic" w:hAnsi="Century Gothic"/>
                <w:sz w:val="20"/>
                <w:szCs w:val="20"/>
                <w:lang w:val="fr-FR"/>
              </w:rPr>
              <w:t>des Services d'appui aux Entreprises (SAE) aux MER/PER validées</w:t>
            </w:r>
            <w:r>
              <w:rPr>
                <w:rFonts w:ascii="Century Gothic" w:hAnsi="Century Gothic"/>
                <w:sz w:val="20"/>
                <w:szCs w:val="20"/>
                <w:lang w:val="fr-FR"/>
              </w:rPr>
              <w:t xml:space="preserve"> mais la mesure du pourcentage des PSE ayant vu leurs prestations satisfaisants n’est pas encore disponible qu’à partir du début d’année 2010.</w:t>
            </w:r>
          </w:p>
          <w:p w:rsidR="00153C73" w:rsidRPr="000169D7" w:rsidRDefault="00153C73" w:rsidP="00153C73">
            <w:pPr>
              <w:jc w:val="both"/>
              <w:rPr>
                <w:rFonts w:ascii="Century Gothic" w:hAnsi="Century Gothic"/>
                <w:sz w:val="20"/>
                <w:szCs w:val="20"/>
                <w:lang w:val="fr-FR"/>
              </w:rPr>
            </w:pPr>
            <w:r w:rsidRPr="000169D7">
              <w:rPr>
                <w:rFonts w:ascii="Century Gothic" w:hAnsi="Century Gothic"/>
                <w:sz w:val="20"/>
                <w:szCs w:val="20"/>
                <w:lang w:val="fr-FR"/>
              </w:rPr>
              <w:lastRenderedPageBreak/>
              <w:t xml:space="preserve">Les autres produits relatifs </w:t>
            </w:r>
            <w:r>
              <w:rPr>
                <w:rFonts w:ascii="Century Gothic" w:hAnsi="Century Gothic"/>
                <w:sz w:val="20"/>
                <w:szCs w:val="20"/>
                <w:lang w:val="fr-FR"/>
              </w:rPr>
              <w:t>au taux d’adoption des formations et des innovations ainsi que ses valeurs ajoutées, à l’accompagnement des jeunes à devenir MER et enfin à l’accompagnement des jeunes à leurs insertions professionnelles</w:t>
            </w:r>
            <w:r w:rsidRPr="000169D7">
              <w:rPr>
                <w:rFonts w:ascii="Century Gothic" w:hAnsi="Century Gothic"/>
                <w:sz w:val="20"/>
                <w:szCs w:val="20"/>
                <w:lang w:val="fr-FR"/>
              </w:rPr>
              <w:t xml:space="preserve"> ne seront pas atteints qu’en 2010. </w:t>
            </w:r>
          </w:p>
          <w:p w:rsidR="00A1346D" w:rsidRPr="00A1346D" w:rsidRDefault="00A1346D" w:rsidP="00153C73">
            <w:pPr>
              <w:jc w:val="both"/>
              <w:rPr>
                <w:rFonts w:ascii="Century Gothic" w:hAnsi="Century Gothic"/>
                <w:sz w:val="20"/>
                <w:szCs w:val="20"/>
                <w:lang w:val="fr-FR"/>
              </w:rPr>
            </w:pPr>
          </w:p>
          <w:p w:rsidR="000169D7" w:rsidRPr="000169D7" w:rsidRDefault="000169D7" w:rsidP="000169D7">
            <w:pPr>
              <w:jc w:val="both"/>
              <w:rPr>
                <w:b/>
                <w:bCs/>
                <w:color w:val="000000"/>
                <w:sz w:val="22"/>
                <w:szCs w:val="22"/>
                <w:lang w:val="fr-FR" w:eastAsia="fr-FR"/>
              </w:rPr>
            </w:pPr>
            <w:r w:rsidRPr="000169D7">
              <w:rPr>
                <w:b/>
                <w:sz w:val="22"/>
                <w:szCs w:val="22"/>
                <w:lang w:val="fr-FR"/>
              </w:rPr>
              <w:t xml:space="preserve">COMPOSANTE 3 : </w:t>
            </w:r>
            <w:r w:rsidRPr="000169D7">
              <w:rPr>
                <w:b/>
                <w:bCs/>
                <w:color w:val="000000"/>
                <w:sz w:val="22"/>
                <w:szCs w:val="22"/>
                <w:lang w:val="fr-FR" w:eastAsia="fr-FR"/>
              </w:rPr>
              <w:t>FINANCE RURALE ET GESTION DES RISQUES</w:t>
            </w:r>
          </w:p>
          <w:p w:rsidR="000169D7" w:rsidRPr="000169D7" w:rsidRDefault="000169D7" w:rsidP="000169D7">
            <w:pPr>
              <w:rPr>
                <w:rFonts w:ascii="Century Gothic" w:hAnsi="Century Gothic"/>
                <w:b/>
                <w:i/>
                <w:sz w:val="20"/>
                <w:szCs w:val="20"/>
                <w:lang w:val="fr-FR"/>
              </w:rPr>
            </w:pPr>
          </w:p>
          <w:p w:rsidR="000169D7" w:rsidRDefault="000169D7" w:rsidP="000169D7">
            <w:pPr>
              <w:rPr>
                <w:rFonts w:ascii="Century Gothic" w:hAnsi="Century Gothic"/>
                <w:b/>
                <w:sz w:val="20"/>
                <w:szCs w:val="20"/>
                <w:u w:val="single"/>
                <w:lang w:val="fr-FR"/>
              </w:rPr>
            </w:pPr>
            <w:r w:rsidRPr="000169D7">
              <w:rPr>
                <w:rFonts w:ascii="Century Gothic" w:hAnsi="Century Gothic"/>
                <w:b/>
                <w:sz w:val="20"/>
                <w:szCs w:val="20"/>
                <w:u w:val="single"/>
                <w:lang w:val="fr-FR"/>
              </w:rPr>
              <w:t>En termes  d’activités</w:t>
            </w:r>
            <w:r w:rsidR="004611A7">
              <w:rPr>
                <w:rFonts w:ascii="Century Gothic" w:hAnsi="Century Gothic"/>
                <w:b/>
                <w:sz w:val="20"/>
                <w:szCs w:val="20"/>
                <w:u w:val="single"/>
                <w:lang w:val="fr-FR"/>
              </w:rPr>
              <w:t xml:space="preserve"> </w:t>
            </w:r>
          </w:p>
          <w:p w:rsidR="004611A7" w:rsidRPr="000169D7" w:rsidRDefault="004611A7" w:rsidP="000169D7">
            <w:pPr>
              <w:rPr>
                <w:rFonts w:ascii="Century Gothic" w:hAnsi="Century Gothic"/>
                <w:sz w:val="20"/>
                <w:szCs w:val="20"/>
                <w:u w:val="single"/>
                <w:lang w:val="fr-FR"/>
              </w:rPr>
            </w:pPr>
          </w:p>
          <w:p w:rsidR="000169D7" w:rsidRPr="00F6067D" w:rsidRDefault="000169D7" w:rsidP="000169D7">
            <w:pPr>
              <w:pStyle w:val="IFADparagraphnumbering"/>
              <w:numPr>
                <w:ilvl w:val="0"/>
                <w:numId w:val="0"/>
              </w:numPr>
              <w:spacing w:before="120"/>
              <w:rPr>
                <w:rFonts w:ascii="Century Gothic" w:hAnsi="Century Gothic"/>
                <w:bCs/>
                <w:iCs/>
                <w:sz w:val="20"/>
                <w:lang w:val="fr-FR"/>
              </w:rPr>
            </w:pPr>
            <w:r w:rsidRPr="00F6067D">
              <w:rPr>
                <w:rFonts w:ascii="Century Gothic" w:hAnsi="Century Gothic"/>
                <w:sz w:val="20"/>
                <w:lang w:val="fr-FR"/>
              </w:rPr>
              <w:t>Les débuts des activités de cette composante  ont accusé  des retards pour les raisons suivantes: la crise politique et la forte ambiance d’insécurité surtout lors du premier trimestre de l’année 2009 et la suspension des Programmes partenaires (Cas de l’</w:t>
            </w:r>
            <w:smartTag w:uri="urn:schemas-microsoft-com:office:smarttags" w:element="stockticker">
              <w:r w:rsidRPr="00F6067D">
                <w:rPr>
                  <w:rFonts w:ascii="Century Gothic" w:hAnsi="Century Gothic"/>
                  <w:sz w:val="20"/>
                  <w:lang w:val="fr-FR"/>
                </w:rPr>
                <w:t>IFC</w:t>
              </w:r>
            </w:smartTag>
            <w:r w:rsidRPr="00F6067D">
              <w:rPr>
                <w:rFonts w:ascii="Century Gothic" w:hAnsi="Century Gothic"/>
                <w:sz w:val="20"/>
                <w:lang w:val="fr-FR"/>
              </w:rPr>
              <w:t xml:space="preserve">). </w:t>
            </w:r>
            <w:r w:rsidRPr="00F6067D">
              <w:rPr>
                <w:rFonts w:ascii="Century Gothic" w:hAnsi="Century Gothic"/>
                <w:bCs/>
                <w:iCs/>
                <w:sz w:val="20"/>
                <w:lang w:val="fr-FR"/>
              </w:rPr>
              <w:t xml:space="preserve">Ainsi, les Principaux objectifs fixés de cette composante pour le PTBA 2009 ne sont pas encore atteints. </w:t>
            </w:r>
          </w:p>
          <w:p w:rsidR="000169D7" w:rsidRDefault="000169D7" w:rsidP="000169D7">
            <w:pPr>
              <w:jc w:val="both"/>
              <w:rPr>
                <w:rFonts w:ascii="Century Gothic" w:hAnsi="Century Gothic"/>
                <w:bCs/>
                <w:iCs/>
                <w:sz w:val="20"/>
                <w:szCs w:val="20"/>
                <w:lang w:val="fr-FR"/>
              </w:rPr>
            </w:pPr>
            <w:r w:rsidRPr="000169D7">
              <w:rPr>
                <w:rFonts w:ascii="Century Gothic" w:hAnsi="Century Gothic"/>
                <w:bCs/>
                <w:iCs/>
                <w:sz w:val="20"/>
                <w:szCs w:val="20"/>
                <w:lang w:val="fr-FR"/>
              </w:rPr>
              <w:t xml:space="preserve">Malgré-cela, le programme est sur la bonne voie pour atteindre les objectifs du PTBA 2009 </w:t>
            </w:r>
            <w:r w:rsidRPr="000169D7">
              <w:rPr>
                <w:rFonts w:ascii="Century Gothic" w:hAnsi="Century Gothic"/>
                <w:sz w:val="20"/>
                <w:szCs w:val="20"/>
                <w:lang w:val="fr-FR"/>
              </w:rPr>
              <w:t>portant</w:t>
            </w:r>
            <w:r w:rsidRPr="000169D7">
              <w:rPr>
                <w:rFonts w:ascii="Century Gothic" w:hAnsi="Century Gothic"/>
                <w:bCs/>
                <w:iCs/>
                <w:sz w:val="20"/>
                <w:szCs w:val="20"/>
                <w:lang w:val="fr-FR"/>
              </w:rPr>
              <w:t xml:space="preserve"> sur la mise en œuvre de toutes les activités prioritaires permettant de faciliter l’accès des </w:t>
            </w:r>
            <w:smartTag w:uri="urn:schemas-microsoft-com:office:smarttags" w:element="stockticker">
              <w:r w:rsidRPr="000169D7">
                <w:rPr>
                  <w:rFonts w:ascii="Century Gothic" w:hAnsi="Century Gothic"/>
                  <w:bCs/>
                  <w:iCs/>
                  <w:sz w:val="20"/>
                  <w:szCs w:val="20"/>
                  <w:lang w:val="fr-FR"/>
                </w:rPr>
                <w:t>MER</w:t>
              </w:r>
            </w:smartTag>
            <w:r w:rsidRPr="000169D7">
              <w:rPr>
                <w:rFonts w:ascii="Century Gothic" w:hAnsi="Century Gothic"/>
                <w:bCs/>
                <w:iCs/>
                <w:sz w:val="20"/>
                <w:szCs w:val="20"/>
                <w:lang w:val="fr-FR"/>
              </w:rPr>
              <w:t>/</w:t>
            </w:r>
            <w:smartTag w:uri="urn:schemas-microsoft-com:office:smarttags" w:element="stockticker">
              <w:r w:rsidRPr="000169D7">
                <w:rPr>
                  <w:rFonts w:ascii="Century Gothic" w:hAnsi="Century Gothic"/>
                  <w:bCs/>
                  <w:iCs/>
                  <w:sz w:val="20"/>
                  <w:szCs w:val="20"/>
                  <w:lang w:val="fr-FR"/>
                </w:rPr>
                <w:t>PER</w:t>
              </w:r>
            </w:smartTag>
            <w:r w:rsidRPr="000169D7">
              <w:rPr>
                <w:rFonts w:ascii="Century Gothic" w:hAnsi="Century Gothic"/>
                <w:bCs/>
                <w:iCs/>
                <w:sz w:val="20"/>
                <w:szCs w:val="20"/>
                <w:lang w:val="fr-FR"/>
              </w:rPr>
              <w:t xml:space="preserve"> aux services financiers offerts par les réseaux d’institutions de micro-finance. </w:t>
            </w:r>
          </w:p>
          <w:p w:rsidR="00F6067D" w:rsidRPr="000169D7" w:rsidRDefault="00F6067D" w:rsidP="000169D7">
            <w:pPr>
              <w:jc w:val="both"/>
              <w:rPr>
                <w:rFonts w:ascii="Century Gothic" w:hAnsi="Century Gothic"/>
                <w:sz w:val="20"/>
                <w:szCs w:val="20"/>
                <w:lang w:val="fr-FR"/>
              </w:rPr>
            </w:pPr>
          </w:p>
          <w:p w:rsidR="000169D7" w:rsidRDefault="000169D7" w:rsidP="000169D7">
            <w:pPr>
              <w:rPr>
                <w:rFonts w:ascii="Century Gothic" w:hAnsi="Century Gothic"/>
                <w:sz w:val="20"/>
                <w:szCs w:val="20"/>
              </w:rPr>
            </w:pPr>
            <w:r w:rsidRPr="00A23F28">
              <w:rPr>
                <w:rFonts w:ascii="Century Gothic" w:hAnsi="Century Gothic"/>
                <w:sz w:val="20"/>
                <w:szCs w:val="20"/>
              </w:rPr>
              <w:t xml:space="preserve">Sous composante 31 : </w:t>
            </w:r>
            <w:r w:rsidRPr="00A23F28">
              <w:rPr>
                <w:rFonts w:ascii="Century Gothic" w:hAnsi="Century Gothic" w:cs="Arial"/>
                <w:bCs/>
                <w:iCs/>
                <w:color w:val="000000"/>
                <w:sz w:val="20"/>
                <w:szCs w:val="20"/>
                <w:lang w:eastAsia="fr-FR"/>
              </w:rPr>
              <w:t>ACCES AUX CREDITS</w:t>
            </w:r>
            <w:r w:rsidRPr="00A23F28">
              <w:rPr>
                <w:rFonts w:ascii="Century Gothic" w:hAnsi="Century Gothic"/>
                <w:sz w:val="20"/>
                <w:szCs w:val="20"/>
              </w:rPr>
              <w:t xml:space="preserve"> </w:t>
            </w:r>
          </w:p>
          <w:p w:rsidR="004611A7" w:rsidRPr="00A23F28" w:rsidRDefault="004611A7" w:rsidP="000169D7">
            <w:pPr>
              <w:rPr>
                <w:rFonts w:ascii="Century Gothic" w:hAnsi="Century Gothic"/>
                <w:sz w:val="20"/>
                <w:szCs w:val="20"/>
              </w:rPr>
            </w:pPr>
          </w:p>
          <w:p w:rsidR="000169D7" w:rsidRPr="000169D7" w:rsidRDefault="000169D7" w:rsidP="006247B1">
            <w:pPr>
              <w:pStyle w:val="IFADparagraphnumbering"/>
              <w:numPr>
                <w:ilvl w:val="0"/>
                <w:numId w:val="11"/>
              </w:numPr>
              <w:spacing w:before="120" w:line="240" w:lineRule="auto"/>
              <w:ind w:left="426"/>
              <w:rPr>
                <w:rFonts w:ascii="Century Gothic" w:hAnsi="Century Gothic"/>
                <w:sz w:val="20"/>
                <w:lang w:val="fr-FR"/>
              </w:rPr>
            </w:pPr>
            <w:r w:rsidRPr="000169D7">
              <w:rPr>
                <w:rFonts w:ascii="Century Gothic" w:hAnsi="Century Gothic"/>
                <w:b/>
                <w:bCs/>
                <w:sz w:val="20"/>
                <w:lang w:val="fr-FR"/>
              </w:rPr>
              <w:t xml:space="preserve">Densification des réseaux de micro-finance. </w:t>
            </w:r>
            <w:r w:rsidRPr="000169D7">
              <w:rPr>
                <w:rFonts w:ascii="Century Gothic" w:hAnsi="Century Gothic"/>
                <w:bCs/>
                <w:sz w:val="20"/>
                <w:lang w:val="fr-FR"/>
              </w:rPr>
              <w:t>T</w:t>
            </w:r>
            <w:r w:rsidRPr="000169D7">
              <w:rPr>
                <w:rFonts w:ascii="Century Gothic" w:hAnsi="Century Gothic"/>
                <w:sz w:val="20"/>
                <w:lang w:val="fr-FR"/>
              </w:rPr>
              <w:t>rois IMF ont été retenues pour la densification des réseaux de micro-finance, à savoir CECAM, TIAVO et PAMF. Les conventions sont signées. La création des 12 nouveaux points de services permanents et des 5 nouveaux points de services périodiques ainsi que le renforcement des 34 points de services existants devraient donc démarrer janvier 2010.</w:t>
            </w:r>
          </w:p>
          <w:p w:rsidR="000169D7" w:rsidRPr="000169D7" w:rsidRDefault="000169D7" w:rsidP="006247B1">
            <w:pPr>
              <w:pStyle w:val="IFADparagraphnumbering"/>
              <w:numPr>
                <w:ilvl w:val="0"/>
                <w:numId w:val="11"/>
              </w:numPr>
              <w:spacing w:before="120" w:line="240" w:lineRule="auto"/>
              <w:ind w:left="426"/>
              <w:rPr>
                <w:rFonts w:ascii="Century Gothic" w:hAnsi="Century Gothic"/>
                <w:bCs/>
                <w:sz w:val="20"/>
                <w:lang w:val="fr-FR"/>
              </w:rPr>
            </w:pPr>
            <w:r w:rsidRPr="000169D7">
              <w:rPr>
                <w:rFonts w:ascii="Century Gothic" w:hAnsi="Century Gothic"/>
                <w:b/>
                <w:bCs/>
                <w:sz w:val="20"/>
                <w:lang w:val="fr-FR"/>
              </w:rPr>
              <w:t>Facilité d’investissement rural (FIR).</w:t>
            </w:r>
            <w:r w:rsidRPr="000169D7">
              <w:rPr>
                <w:rFonts w:ascii="Century Gothic" w:hAnsi="Century Gothic"/>
                <w:bCs/>
                <w:sz w:val="20"/>
                <w:lang w:val="fr-FR"/>
              </w:rPr>
              <w:t xml:space="preserve"> L’étude pour la mise en place de la FIR est en cours. Le rapport final devrait être disponible au plus tard mi-janvier 2010. </w:t>
            </w:r>
          </w:p>
          <w:p w:rsidR="000169D7" w:rsidRPr="00E0598B" w:rsidRDefault="000169D7" w:rsidP="006247B1">
            <w:pPr>
              <w:pStyle w:val="IFADparagraphnumbering"/>
              <w:numPr>
                <w:ilvl w:val="0"/>
                <w:numId w:val="11"/>
              </w:numPr>
              <w:spacing w:before="120" w:line="240" w:lineRule="auto"/>
              <w:ind w:left="426"/>
              <w:rPr>
                <w:rFonts w:ascii="Century Gothic" w:hAnsi="Century Gothic"/>
                <w:b/>
                <w:color w:val="FF0000"/>
                <w:sz w:val="20"/>
                <w:lang w:val="fr-FR"/>
              </w:rPr>
            </w:pPr>
            <w:r w:rsidRPr="000169D7">
              <w:rPr>
                <w:rFonts w:ascii="Century Gothic" w:hAnsi="Century Gothic"/>
                <w:bCs/>
                <w:sz w:val="20"/>
                <w:lang w:val="fr-FR"/>
              </w:rPr>
              <w:t>03 guichets fonciers sont mis en place dans la région de la Haute Matsiatra en partenariat avec l’ONG FIANTSO</w:t>
            </w:r>
            <w:r w:rsidRPr="000169D7">
              <w:rPr>
                <w:rFonts w:ascii="Century Gothic" w:hAnsi="Century Gothic"/>
                <w:b/>
                <w:bCs/>
                <w:sz w:val="20"/>
                <w:lang w:val="fr-FR"/>
              </w:rPr>
              <w:t xml:space="preserve">. </w:t>
            </w:r>
            <w:r w:rsidRPr="000169D7">
              <w:rPr>
                <w:rFonts w:ascii="Century Gothic" w:hAnsi="Century Gothic"/>
                <w:sz w:val="20"/>
                <w:lang w:val="fr-FR"/>
              </w:rPr>
              <w:t xml:space="preserve"> </w:t>
            </w:r>
          </w:p>
          <w:p w:rsidR="0031678C" w:rsidRDefault="000169D7" w:rsidP="0031678C">
            <w:pPr>
              <w:pStyle w:val="IFADparagraphnumbering"/>
              <w:numPr>
                <w:ilvl w:val="0"/>
                <w:numId w:val="0"/>
              </w:numPr>
              <w:spacing w:after="0" w:line="240" w:lineRule="auto"/>
              <w:ind w:left="426"/>
              <w:rPr>
                <w:rFonts w:ascii="Century Gothic" w:hAnsi="Century Gothic"/>
                <w:sz w:val="20"/>
                <w:lang w:val="fr-FR" w:eastAsia="en-GB"/>
              </w:rPr>
            </w:pPr>
            <w:r w:rsidRPr="00F25790">
              <w:rPr>
                <w:rFonts w:ascii="Century Gothic" w:hAnsi="Century Gothic"/>
                <w:b/>
                <w:sz w:val="20"/>
                <w:lang w:val="fr-FR" w:eastAsia="en-GB"/>
              </w:rPr>
              <w:t>Renforcement des services de l’Etat civil</w:t>
            </w:r>
            <w:r w:rsidRPr="00F25790">
              <w:rPr>
                <w:rFonts w:ascii="Century Gothic" w:hAnsi="Century Gothic"/>
                <w:b/>
                <w:sz w:val="20"/>
                <w:lang w:val="fr-BE" w:eastAsia="en-GB"/>
              </w:rPr>
              <w:t>.</w:t>
            </w:r>
            <w:r w:rsidRPr="00F25790">
              <w:rPr>
                <w:rFonts w:ascii="Century Gothic" w:hAnsi="Century Gothic"/>
                <w:sz w:val="20"/>
                <w:lang w:val="fr-BE" w:eastAsia="en-GB"/>
              </w:rPr>
              <w:t xml:space="preserve"> L’élaboration et la signature des conventions de partenariat par région sont effectives au troisième trimestre. La mise en œuvre de l’opération jugement supplétif pour </w:t>
            </w:r>
            <w:r w:rsidRPr="00F25790">
              <w:rPr>
                <w:rFonts w:ascii="Century Gothic" w:hAnsi="Century Gothic"/>
                <w:sz w:val="20"/>
                <w:lang w:val="fr-FR" w:eastAsia="en-GB"/>
              </w:rPr>
              <w:t xml:space="preserve">la délivrance des </w:t>
            </w:r>
            <w:smartTag w:uri="urn:schemas-microsoft-com:office:smarttags" w:element="stockticker">
              <w:r w:rsidRPr="00F25790">
                <w:rPr>
                  <w:rFonts w:ascii="Century Gothic" w:hAnsi="Century Gothic"/>
                  <w:sz w:val="20"/>
                  <w:lang w:val="fr-FR" w:eastAsia="en-GB"/>
                </w:rPr>
                <w:t>CIN</w:t>
              </w:r>
            </w:smartTag>
            <w:r w:rsidRPr="00F25790">
              <w:rPr>
                <w:rFonts w:ascii="Century Gothic" w:hAnsi="Century Gothic"/>
                <w:sz w:val="20"/>
                <w:lang w:val="fr-FR" w:eastAsia="en-GB"/>
              </w:rPr>
              <w:t xml:space="preserve"> a débuté courant mois de décembre 2010 et continuera au cours du premier trimestre 2010. </w:t>
            </w:r>
          </w:p>
          <w:p w:rsidR="00F25790" w:rsidRPr="00F25790" w:rsidRDefault="00F25790" w:rsidP="0031678C">
            <w:pPr>
              <w:pStyle w:val="IFADparagraphnumbering"/>
              <w:numPr>
                <w:ilvl w:val="0"/>
                <w:numId w:val="0"/>
              </w:numPr>
              <w:spacing w:after="0" w:line="240" w:lineRule="auto"/>
              <w:ind w:left="426"/>
              <w:rPr>
                <w:rFonts w:ascii="Century Gothic" w:hAnsi="Century Gothic"/>
                <w:sz w:val="20"/>
                <w:lang w:val="fr-BE" w:eastAsia="en-GB"/>
              </w:rPr>
            </w:pPr>
          </w:p>
          <w:p w:rsidR="000169D7" w:rsidRDefault="000169D7" w:rsidP="000169D7">
            <w:pPr>
              <w:rPr>
                <w:rFonts w:ascii="Century Gothic" w:hAnsi="Century Gothic" w:cs="Arial"/>
                <w:bCs/>
                <w:iCs/>
                <w:color w:val="000000"/>
                <w:sz w:val="20"/>
                <w:szCs w:val="20"/>
                <w:lang w:val="fr-FR" w:eastAsia="fr-FR"/>
              </w:rPr>
            </w:pPr>
            <w:r w:rsidRPr="00A23F28">
              <w:rPr>
                <w:rFonts w:ascii="Century Gothic" w:hAnsi="Century Gothic"/>
                <w:sz w:val="20"/>
                <w:szCs w:val="20"/>
                <w:lang w:val="fr-BE"/>
              </w:rPr>
              <w:t xml:space="preserve">Sous composante 32 : </w:t>
            </w:r>
            <w:r w:rsidRPr="000169D7">
              <w:rPr>
                <w:rFonts w:ascii="Century Gothic" w:hAnsi="Century Gothic" w:cs="Arial"/>
                <w:bCs/>
                <w:iCs/>
                <w:color w:val="000000"/>
                <w:sz w:val="20"/>
                <w:szCs w:val="20"/>
                <w:lang w:val="fr-FR" w:eastAsia="fr-FR"/>
              </w:rPr>
              <w:t>OUTILS DE GESTION DES RISQUES</w:t>
            </w:r>
          </w:p>
          <w:p w:rsidR="006169EC" w:rsidRPr="00A23F28" w:rsidRDefault="006169EC" w:rsidP="000169D7">
            <w:pPr>
              <w:rPr>
                <w:rFonts w:ascii="Century Gothic" w:hAnsi="Century Gothic"/>
                <w:sz w:val="20"/>
                <w:szCs w:val="20"/>
                <w:lang w:val="fr-BE"/>
              </w:rPr>
            </w:pPr>
          </w:p>
          <w:p w:rsidR="000169D7" w:rsidRPr="000169D7" w:rsidRDefault="000169D7" w:rsidP="006247B1">
            <w:pPr>
              <w:pStyle w:val="IFADparagraphnumbering"/>
              <w:numPr>
                <w:ilvl w:val="0"/>
                <w:numId w:val="12"/>
              </w:numPr>
              <w:spacing w:before="120" w:line="240" w:lineRule="auto"/>
              <w:ind w:left="426"/>
              <w:rPr>
                <w:rFonts w:ascii="Century Gothic" w:hAnsi="Century Gothic"/>
                <w:bCs/>
                <w:sz w:val="20"/>
                <w:lang w:val="fr-FR"/>
              </w:rPr>
            </w:pPr>
            <w:r w:rsidRPr="000169D7">
              <w:rPr>
                <w:rFonts w:ascii="Century Gothic" w:hAnsi="Century Gothic"/>
                <w:b/>
                <w:bCs/>
                <w:sz w:val="20"/>
                <w:lang w:val="fr-FR"/>
              </w:rPr>
              <w:t xml:space="preserve">Adaptation des produits financiers des IMF aux besoins des </w:t>
            </w:r>
            <w:smartTag w:uri="urn:schemas-microsoft-com:office:smarttags" w:element="stockticker">
              <w:r w:rsidRPr="000169D7">
                <w:rPr>
                  <w:rFonts w:ascii="Century Gothic" w:hAnsi="Century Gothic"/>
                  <w:b/>
                  <w:bCs/>
                  <w:sz w:val="20"/>
                  <w:lang w:val="fr-FR"/>
                </w:rPr>
                <w:t>MER</w:t>
              </w:r>
            </w:smartTag>
            <w:r w:rsidRPr="000169D7">
              <w:rPr>
                <w:rFonts w:ascii="Century Gothic" w:hAnsi="Century Gothic"/>
                <w:b/>
                <w:bCs/>
                <w:sz w:val="20"/>
                <w:lang w:val="fr-FR"/>
              </w:rPr>
              <w:t>/</w:t>
            </w:r>
            <w:smartTag w:uri="urn:schemas-microsoft-com:office:smarttags" w:element="stockticker">
              <w:r w:rsidRPr="000169D7">
                <w:rPr>
                  <w:rFonts w:ascii="Century Gothic" w:hAnsi="Century Gothic"/>
                  <w:b/>
                  <w:bCs/>
                  <w:sz w:val="20"/>
                  <w:lang w:val="fr-FR"/>
                </w:rPr>
                <w:t>PER</w:t>
              </w:r>
            </w:smartTag>
            <w:r w:rsidRPr="000169D7">
              <w:rPr>
                <w:rFonts w:ascii="Century Gothic" w:hAnsi="Century Gothic"/>
                <w:b/>
                <w:bCs/>
                <w:sz w:val="20"/>
                <w:lang w:val="fr-FR"/>
              </w:rPr>
              <w:t>.</w:t>
            </w:r>
            <w:r w:rsidRPr="000169D7">
              <w:rPr>
                <w:rFonts w:ascii="Century Gothic" w:hAnsi="Century Gothic"/>
                <w:sz w:val="20"/>
                <w:lang w:val="fr-FR"/>
              </w:rPr>
              <w:t xml:space="preserve"> </w:t>
            </w:r>
            <w:r w:rsidRPr="000169D7">
              <w:rPr>
                <w:rFonts w:ascii="Century Gothic" w:hAnsi="Century Gothic"/>
                <w:bCs/>
                <w:sz w:val="20"/>
                <w:lang w:val="fr-FR"/>
              </w:rPr>
              <w:t>L’étude sur l’adaptation des produits financiers des IMF est en cours. Le consultant prévoit d’achever les formations durant la 1</w:t>
            </w:r>
            <w:r w:rsidRPr="000169D7">
              <w:rPr>
                <w:rFonts w:ascii="Century Gothic" w:hAnsi="Century Gothic"/>
                <w:bCs/>
                <w:sz w:val="20"/>
                <w:vertAlign w:val="superscript"/>
                <w:lang w:val="fr-FR"/>
              </w:rPr>
              <w:t>ère</w:t>
            </w:r>
            <w:r w:rsidRPr="000169D7">
              <w:rPr>
                <w:rFonts w:ascii="Century Gothic" w:hAnsi="Century Gothic"/>
                <w:bCs/>
                <w:sz w:val="20"/>
                <w:lang w:val="fr-FR"/>
              </w:rPr>
              <w:t xml:space="preserve"> semaine de janvier 2010 et le rapport final devrait être disponible mi-janvier 2010. </w:t>
            </w:r>
          </w:p>
          <w:p w:rsidR="000169D7" w:rsidRPr="000169D7" w:rsidRDefault="000169D7" w:rsidP="006247B1">
            <w:pPr>
              <w:pStyle w:val="IFADparagraphnumbering"/>
              <w:numPr>
                <w:ilvl w:val="0"/>
                <w:numId w:val="12"/>
              </w:numPr>
              <w:spacing w:before="120" w:line="240" w:lineRule="auto"/>
              <w:ind w:left="426"/>
              <w:rPr>
                <w:rFonts w:ascii="Century Gothic" w:hAnsi="Century Gothic"/>
                <w:sz w:val="20"/>
              </w:rPr>
            </w:pPr>
            <w:r w:rsidRPr="000169D7">
              <w:rPr>
                <w:rFonts w:ascii="Century Gothic" w:hAnsi="Century Gothic"/>
                <w:b/>
                <w:bCs/>
                <w:sz w:val="20"/>
                <w:lang w:val="fr-FR"/>
              </w:rPr>
              <w:t xml:space="preserve">Facilité de Partage de Risques (FPR). </w:t>
            </w:r>
            <w:r w:rsidRPr="000169D7">
              <w:rPr>
                <w:rFonts w:ascii="Century Gothic" w:hAnsi="Century Gothic"/>
                <w:bCs/>
                <w:sz w:val="20"/>
                <w:lang w:val="fr-FR"/>
              </w:rPr>
              <w:t xml:space="preserve">Les activités ont connu un certain retard par rapport aux prévisions du PTBA. L’expert international et l’expert national chargés de réaliser l’étude et la mise en place sont sélectionnés. </w:t>
            </w:r>
            <w:r w:rsidRPr="000169D7">
              <w:rPr>
                <w:rFonts w:ascii="Century Gothic" w:hAnsi="Century Gothic"/>
                <w:sz w:val="20"/>
              </w:rPr>
              <w:t>Leur mission est prévue pour démarrer courant janvier 2010.</w:t>
            </w:r>
          </w:p>
          <w:p w:rsidR="000169D7" w:rsidRPr="000169D7" w:rsidRDefault="000169D7" w:rsidP="006247B1">
            <w:pPr>
              <w:pStyle w:val="IFADparagraphnumbering"/>
              <w:keepLines/>
              <w:numPr>
                <w:ilvl w:val="0"/>
                <w:numId w:val="12"/>
              </w:numPr>
              <w:spacing w:after="0" w:line="240" w:lineRule="auto"/>
              <w:ind w:left="426"/>
              <w:rPr>
                <w:rFonts w:ascii="Century Gothic" w:hAnsi="Century Gothic"/>
                <w:sz w:val="20"/>
                <w:lang w:val="fr-FR"/>
              </w:rPr>
            </w:pPr>
            <w:r w:rsidRPr="000169D7">
              <w:rPr>
                <w:rFonts w:ascii="Century Gothic" w:hAnsi="Century Gothic"/>
                <w:b/>
                <w:sz w:val="20"/>
                <w:lang w:val="fr-FR"/>
              </w:rPr>
              <w:t>Comité technique pour l’orientation du Programme Finance Rurale (CTOP)</w:t>
            </w:r>
            <w:r w:rsidRPr="000169D7">
              <w:rPr>
                <w:rFonts w:ascii="Century Gothic" w:hAnsi="Century Gothic"/>
                <w:sz w:val="20"/>
                <w:lang w:val="fr-FR"/>
              </w:rPr>
              <w:t xml:space="preserve">. Le CTOP a tenu sa première réunion formelle le 7 octobre 2009 durant laquelle ont été agréés la périodicité des réunions, ses modalités de fonctionnement et un plan d'actions à mener durant le dernier trimestre 2009. Ainsi, il a décidé de conduire : (i) un inventaire/capitalisation des études et des expériences en matière de «finances rurales » à Madagascar; et (ii) la mise en place </w:t>
            </w:r>
            <w:r w:rsidRPr="000169D7">
              <w:rPr>
                <w:rFonts w:ascii="Century Gothic" w:hAnsi="Century Gothic"/>
                <w:bCs/>
                <w:iCs/>
                <w:sz w:val="20"/>
                <w:lang w:val="fr-FR"/>
              </w:rPr>
              <w:t>d’une base de données informatisée des référentiels technico-financiers qui</w:t>
            </w:r>
            <w:r w:rsidRPr="000169D7">
              <w:rPr>
                <w:rFonts w:ascii="Century Gothic" w:hAnsi="Century Gothic"/>
                <w:sz w:val="20"/>
                <w:lang w:val="fr-FR"/>
              </w:rPr>
              <w:t xml:space="preserve"> devrait démarrer courant décembre 2009. En outre, grâce à l’appui du Programme, le Service d’Appui à la Micro-finance Rural (SAMFR) a été doté de lots d'équipement &amp; matériels informatiques, et la responsable du SAMFR a aussi bénéficié des échanges avec l’expert international mobilisé en mars/avril.</w:t>
            </w:r>
          </w:p>
          <w:p w:rsidR="000169D7" w:rsidRPr="000169D7" w:rsidRDefault="000169D7" w:rsidP="000169D7">
            <w:pPr>
              <w:jc w:val="both"/>
              <w:rPr>
                <w:rFonts w:ascii="Century Gothic" w:hAnsi="Century Gothic"/>
                <w:b/>
                <w:i/>
                <w:sz w:val="20"/>
                <w:szCs w:val="20"/>
                <w:lang w:val="fr-FR"/>
              </w:rPr>
            </w:pPr>
          </w:p>
          <w:p w:rsidR="000169D7" w:rsidRPr="000169D7" w:rsidRDefault="000169D7" w:rsidP="000169D7">
            <w:pPr>
              <w:jc w:val="both"/>
              <w:rPr>
                <w:rFonts w:ascii="Century Gothic" w:hAnsi="Century Gothic"/>
                <w:b/>
                <w:sz w:val="20"/>
                <w:szCs w:val="20"/>
                <w:u w:val="single"/>
                <w:lang w:val="fr-FR"/>
              </w:rPr>
            </w:pPr>
            <w:r w:rsidRPr="000169D7">
              <w:rPr>
                <w:rFonts w:ascii="Century Gothic" w:hAnsi="Century Gothic"/>
                <w:b/>
                <w:sz w:val="20"/>
                <w:szCs w:val="20"/>
                <w:u w:val="single"/>
                <w:lang w:val="fr-FR"/>
              </w:rPr>
              <w:t>En termes de produits issus des activités</w:t>
            </w:r>
          </w:p>
          <w:p w:rsidR="000169D7" w:rsidRPr="000169D7" w:rsidRDefault="000169D7" w:rsidP="000169D7">
            <w:pPr>
              <w:jc w:val="both"/>
              <w:rPr>
                <w:rFonts w:ascii="Century Gothic" w:hAnsi="Century Gothic"/>
                <w:sz w:val="20"/>
                <w:szCs w:val="20"/>
                <w:lang w:val="fr-FR"/>
              </w:rPr>
            </w:pPr>
          </w:p>
          <w:p w:rsidR="000169D7" w:rsidRPr="000169D7" w:rsidRDefault="000169D7" w:rsidP="000169D7">
            <w:pPr>
              <w:jc w:val="both"/>
              <w:rPr>
                <w:rFonts w:ascii="Century Gothic" w:hAnsi="Century Gothic"/>
                <w:sz w:val="20"/>
                <w:szCs w:val="20"/>
                <w:lang w:val="fr-FR"/>
              </w:rPr>
            </w:pPr>
            <w:r w:rsidRPr="000169D7">
              <w:rPr>
                <w:rFonts w:ascii="Century Gothic" w:hAnsi="Century Gothic"/>
                <w:sz w:val="20"/>
                <w:szCs w:val="20"/>
                <w:lang w:val="fr-FR"/>
              </w:rPr>
              <w:t>Les produits issus de</w:t>
            </w:r>
            <w:r w:rsidR="00DB081F">
              <w:rPr>
                <w:rFonts w:ascii="Century Gothic" w:hAnsi="Century Gothic"/>
                <w:sz w:val="20"/>
                <w:szCs w:val="20"/>
                <w:lang w:val="fr-FR"/>
              </w:rPr>
              <w:t xml:space="preserve"> la</w:t>
            </w:r>
            <w:r w:rsidRPr="000169D7">
              <w:rPr>
                <w:rFonts w:ascii="Century Gothic" w:hAnsi="Century Gothic"/>
                <w:sz w:val="20"/>
                <w:szCs w:val="20"/>
                <w:lang w:val="fr-FR"/>
              </w:rPr>
              <w:t xml:space="preserve"> réalisation des ces activités les plus marquant sont ceux relatifs aux appuis des services administratifs à savoir :</w:t>
            </w:r>
          </w:p>
          <w:p w:rsidR="000169D7" w:rsidRPr="00952681" w:rsidRDefault="000169D7" w:rsidP="006247B1">
            <w:pPr>
              <w:pStyle w:val="Paragraphedeliste"/>
              <w:numPr>
                <w:ilvl w:val="0"/>
                <w:numId w:val="19"/>
              </w:numPr>
              <w:spacing w:after="0" w:line="240" w:lineRule="auto"/>
              <w:jc w:val="both"/>
              <w:rPr>
                <w:rFonts w:ascii="Century Gothic" w:hAnsi="Century Gothic"/>
                <w:sz w:val="20"/>
                <w:szCs w:val="20"/>
              </w:rPr>
            </w:pPr>
            <w:r w:rsidRPr="00952681">
              <w:rPr>
                <w:rFonts w:ascii="Century Gothic" w:hAnsi="Century Gothic"/>
                <w:sz w:val="20"/>
                <w:szCs w:val="20"/>
              </w:rPr>
              <w:t xml:space="preserve">la délivrance de </w:t>
            </w:r>
            <w:r w:rsidR="0031678C">
              <w:rPr>
                <w:rFonts w:ascii="Century Gothic" w:hAnsi="Century Gothic"/>
                <w:sz w:val="20"/>
                <w:szCs w:val="20"/>
              </w:rPr>
              <w:t>900</w:t>
            </w:r>
            <w:r w:rsidRPr="00952681">
              <w:rPr>
                <w:rFonts w:ascii="Century Gothic" w:hAnsi="Century Gothic"/>
                <w:sz w:val="20"/>
                <w:szCs w:val="20"/>
              </w:rPr>
              <w:t xml:space="preserve"> Cartes d’identité nationale et </w:t>
            </w:r>
          </w:p>
          <w:p w:rsidR="000169D7" w:rsidRPr="00952681" w:rsidRDefault="000169D7" w:rsidP="006247B1">
            <w:pPr>
              <w:pStyle w:val="Paragraphedeliste"/>
              <w:numPr>
                <w:ilvl w:val="0"/>
                <w:numId w:val="19"/>
              </w:numPr>
              <w:spacing w:after="0" w:line="240" w:lineRule="auto"/>
              <w:jc w:val="both"/>
              <w:rPr>
                <w:rFonts w:ascii="Century Gothic" w:hAnsi="Century Gothic"/>
                <w:sz w:val="20"/>
                <w:szCs w:val="20"/>
              </w:rPr>
            </w:pPr>
            <w:r w:rsidRPr="00952681">
              <w:rPr>
                <w:rFonts w:ascii="Century Gothic" w:hAnsi="Century Gothic"/>
                <w:sz w:val="20"/>
                <w:szCs w:val="20"/>
              </w:rPr>
              <w:t xml:space="preserve">l’émission de 31 certificats fonciers. </w:t>
            </w:r>
          </w:p>
          <w:p w:rsidR="000169D7" w:rsidRPr="000169D7" w:rsidRDefault="000169D7" w:rsidP="000169D7">
            <w:pPr>
              <w:jc w:val="both"/>
              <w:rPr>
                <w:rFonts w:ascii="Century Gothic" w:hAnsi="Century Gothic"/>
                <w:sz w:val="20"/>
                <w:szCs w:val="20"/>
                <w:lang w:val="fr-FR"/>
              </w:rPr>
            </w:pPr>
            <w:r w:rsidRPr="000169D7">
              <w:rPr>
                <w:rFonts w:ascii="Century Gothic" w:hAnsi="Century Gothic"/>
                <w:sz w:val="20"/>
                <w:szCs w:val="20"/>
                <w:lang w:val="fr-FR"/>
              </w:rPr>
              <w:lastRenderedPageBreak/>
              <w:t xml:space="preserve">Les autres produits relatifs aux services financiers des MER/PER ne seront pas atteints qu’en 2010 après la finalisation de la </w:t>
            </w:r>
            <w:r w:rsidRPr="000169D7">
              <w:rPr>
                <w:rFonts w:ascii="Century Gothic" w:hAnsi="Century Gothic"/>
                <w:bCs/>
                <w:iCs/>
                <w:sz w:val="20"/>
                <w:szCs w:val="20"/>
                <w:lang w:val="fr-FR"/>
              </w:rPr>
              <w:t xml:space="preserve">mise en œuvre de toutes les activités prioritaires permettant de faciliter l’accès des </w:t>
            </w:r>
            <w:smartTag w:uri="urn:schemas-microsoft-com:office:smarttags" w:element="stockticker">
              <w:r w:rsidRPr="000169D7">
                <w:rPr>
                  <w:rFonts w:ascii="Century Gothic" w:hAnsi="Century Gothic"/>
                  <w:bCs/>
                  <w:iCs/>
                  <w:sz w:val="20"/>
                  <w:szCs w:val="20"/>
                  <w:lang w:val="fr-FR"/>
                </w:rPr>
                <w:t>MER</w:t>
              </w:r>
            </w:smartTag>
            <w:r w:rsidRPr="000169D7">
              <w:rPr>
                <w:rFonts w:ascii="Century Gothic" w:hAnsi="Century Gothic"/>
                <w:bCs/>
                <w:iCs/>
                <w:sz w:val="20"/>
                <w:szCs w:val="20"/>
                <w:lang w:val="fr-FR"/>
              </w:rPr>
              <w:t>/</w:t>
            </w:r>
            <w:smartTag w:uri="urn:schemas-microsoft-com:office:smarttags" w:element="stockticker">
              <w:r w:rsidRPr="000169D7">
                <w:rPr>
                  <w:rFonts w:ascii="Century Gothic" w:hAnsi="Century Gothic"/>
                  <w:bCs/>
                  <w:iCs/>
                  <w:sz w:val="20"/>
                  <w:szCs w:val="20"/>
                  <w:lang w:val="fr-FR"/>
                </w:rPr>
                <w:t>PER</w:t>
              </w:r>
            </w:smartTag>
            <w:r w:rsidRPr="000169D7">
              <w:rPr>
                <w:rFonts w:ascii="Century Gothic" w:hAnsi="Century Gothic"/>
                <w:bCs/>
                <w:iCs/>
                <w:sz w:val="20"/>
                <w:szCs w:val="20"/>
                <w:lang w:val="fr-FR"/>
              </w:rPr>
              <w:t xml:space="preserve"> aux services financiers offerts par les réseaux d’institutions de micro-finance. </w:t>
            </w:r>
          </w:p>
          <w:p w:rsidR="000169D7" w:rsidRDefault="000169D7" w:rsidP="000169D7">
            <w:pPr>
              <w:jc w:val="both"/>
              <w:rPr>
                <w:rFonts w:ascii="Century Gothic" w:hAnsi="Century Gothic"/>
                <w:sz w:val="20"/>
                <w:szCs w:val="20"/>
                <w:lang w:val="fr-FR"/>
              </w:rPr>
            </w:pPr>
          </w:p>
          <w:p w:rsidR="000169D7" w:rsidRPr="00893AAF" w:rsidRDefault="000169D7" w:rsidP="000169D7">
            <w:pPr>
              <w:jc w:val="both"/>
              <w:rPr>
                <w:b/>
                <w:bCs/>
                <w:color w:val="000000"/>
                <w:sz w:val="22"/>
                <w:szCs w:val="22"/>
                <w:lang w:val="fr-FR" w:eastAsia="fr-FR"/>
              </w:rPr>
            </w:pPr>
            <w:r w:rsidRPr="00893AAF">
              <w:rPr>
                <w:b/>
                <w:sz w:val="22"/>
                <w:szCs w:val="22"/>
                <w:lang w:val="fr-FR"/>
              </w:rPr>
              <w:t xml:space="preserve">COMPOSANTE 4 : </w:t>
            </w:r>
            <w:r w:rsidRPr="00893AAF">
              <w:rPr>
                <w:b/>
                <w:bCs/>
                <w:color w:val="000000"/>
                <w:sz w:val="22"/>
                <w:szCs w:val="22"/>
                <w:lang w:val="fr-FR" w:eastAsia="fr-FR"/>
              </w:rPr>
              <w:t>INFRASTRUCTURES DE MARCHE ET INVESTISSEMENTS STRUCTURANTS</w:t>
            </w:r>
          </w:p>
          <w:p w:rsidR="000169D7" w:rsidRPr="000169D7" w:rsidRDefault="000169D7" w:rsidP="000169D7">
            <w:pPr>
              <w:rPr>
                <w:rFonts w:ascii="Century Gothic" w:hAnsi="Century Gothic"/>
                <w:b/>
                <w:i/>
                <w:sz w:val="20"/>
                <w:szCs w:val="20"/>
                <w:lang w:val="fr-FR"/>
              </w:rPr>
            </w:pPr>
          </w:p>
          <w:p w:rsidR="000169D7" w:rsidRPr="006169EC" w:rsidRDefault="000169D7" w:rsidP="000169D7">
            <w:pPr>
              <w:rPr>
                <w:rFonts w:ascii="Century Gothic" w:hAnsi="Century Gothic"/>
                <w:b/>
                <w:sz w:val="20"/>
                <w:szCs w:val="20"/>
                <w:u w:val="single"/>
                <w:lang w:val="fr-FR"/>
              </w:rPr>
            </w:pPr>
            <w:r w:rsidRPr="006169EC">
              <w:rPr>
                <w:rFonts w:ascii="Century Gothic" w:hAnsi="Century Gothic"/>
                <w:b/>
                <w:sz w:val="20"/>
                <w:szCs w:val="20"/>
                <w:u w:val="single"/>
                <w:lang w:val="fr-FR"/>
              </w:rPr>
              <w:t xml:space="preserve">En termes d’activité </w:t>
            </w:r>
          </w:p>
          <w:p w:rsidR="000169D7" w:rsidRPr="000169D7" w:rsidRDefault="000169D7" w:rsidP="000169D7">
            <w:pPr>
              <w:jc w:val="both"/>
              <w:rPr>
                <w:rFonts w:ascii="Century Gothic" w:hAnsi="Century Gothic"/>
                <w:bCs/>
                <w:iCs/>
                <w:sz w:val="20"/>
                <w:szCs w:val="20"/>
                <w:lang w:val="fr-FR"/>
              </w:rPr>
            </w:pPr>
          </w:p>
          <w:p w:rsidR="000169D7" w:rsidRPr="000169D7" w:rsidRDefault="000169D7" w:rsidP="000169D7">
            <w:pPr>
              <w:jc w:val="both"/>
              <w:rPr>
                <w:rFonts w:ascii="Century Gothic" w:hAnsi="Century Gothic"/>
                <w:bCs/>
                <w:iCs/>
                <w:sz w:val="20"/>
                <w:szCs w:val="20"/>
                <w:lang w:val="fr-FR"/>
              </w:rPr>
            </w:pPr>
            <w:r w:rsidRPr="000169D7">
              <w:rPr>
                <w:rFonts w:ascii="Century Gothic" w:hAnsi="Century Gothic"/>
                <w:bCs/>
                <w:iCs/>
                <w:sz w:val="20"/>
                <w:szCs w:val="20"/>
                <w:lang w:val="fr-FR"/>
              </w:rPr>
              <w:t>Les Principaux objectifs de cette composante Infrastructures de marché et investissements structurants ne sont pas encore atteints. Mais au vue l’avancement des activités, le programme est sur la bonne voie pour arriver à cette fin.</w:t>
            </w:r>
          </w:p>
          <w:p w:rsidR="000169D7" w:rsidRPr="000169D7" w:rsidRDefault="000169D7" w:rsidP="000169D7">
            <w:pPr>
              <w:jc w:val="both"/>
              <w:rPr>
                <w:rFonts w:ascii="Century Gothic" w:hAnsi="Century Gothic"/>
                <w:sz w:val="20"/>
                <w:szCs w:val="20"/>
                <w:lang w:val="fr-FR"/>
              </w:rPr>
            </w:pPr>
            <w:r w:rsidRPr="000169D7">
              <w:rPr>
                <w:rFonts w:ascii="Century Gothic" w:hAnsi="Century Gothic"/>
                <w:sz w:val="20"/>
                <w:szCs w:val="20"/>
                <w:lang w:val="fr-FR"/>
              </w:rPr>
              <w:t>Outre la crise politique, deux facteurs  seraient à la base des retards enregistrés dans l’exécution de la composante entre autres le non respect des délais contractuels de remise des rapports requis, particulièrement en raison du paiement tardif de leurs prestations ; et la non disponibilité du consultant pour la visite des sites validés avant l’élaboration des TdR des BE, particulièrement dans des régions éloignées comme Sofia.</w:t>
            </w:r>
          </w:p>
          <w:p w:rsidR="000169D7" w:rsidRPr="000169D7" w:rsidRDefault="000169D7" w:rsidP="000169D7">
            <w:pPr>
              <w:rPr>
                <w:rFonts w:ascii="Century Gothic" w:hAnsi="Century Gothic"/>
                <w:sz w:val="20"/>
                <w:szCs w:val="20"/>
                <w:lang w:val="fr-FR"/>
              </w:rPr>
            </w:pPr>
          </w:p>
          <w:p w:rsidR="000169D7" w:rsidRPr="008127E0" w:rsidRDefault="000169D7" w:rsidP="000169D7">
            <w:pPr>
              <w:jc w:val="both"/>
              <w:rPr>
                <w:rFonts w:ascii="Century Gothic" w:hAnsi="Century Gothic" w:cs="Arial"/>
                <w:iCs/>
                <w:color w:val="000000"/>
                <w:sz w:val="20"/>
                <w:szCs w:val="20"/>
                <w:lang w:eastAsia="fr-FR"/>
              </w:rPr>
            </w:pPr>
            <w:r w:rsidRPr="008127E0">
              <w:rPr>
                <w:rFonts w:ascii="Century Gothic" w:hAnsi="Century Gothic"/>
                <w:sz w:val="20"/>
                <w:szCs w:val="20"/>
              </w:rPr>
              <w:t xml:space="preserve">Sous composante 41 : </w:t>
            </w:r>
            <w:r w:rsidRPr="008127E0">
              <w:rPr>
                <w:rFonts w:ascii="Century Gothic" w:hAnsi="Century Gothic" w:cs="Arial"/>
                <w:sz w:val="20"/>
                <w:szCs w:val="20"/>
                <w:lang w:eastAsia="fr-FR"/>
              </w:rPr>
              <w:t>INFRASTRUCTURE PUBLIQUE</w:t>
            </w:r>
          </w:p>
          <w:p w:rsidR="000169D7" w:rsidRPr="00CC6B8D" w:rsidRDefault="000169D7" w:rsidP="000169D7">
            <w:pPr>
              <w:rPr>
                <w:rFonts w:ascii="Century Gothic" w:hAnsi="Century Gothic"/>
                <w:sz w:val="20"/>
                <w:szCs w:val="20"/>
              </w:rPr>
            </w:pPr>
          </w:p>
          <w:p w:rsidR="000169D7" w:rsidRPr="006169EC" w:rsidRDefault="000169D7" w:rsidP="006247B1">
            <w:pPr>
              <w:pStyle w:val="IFADparagraphnumbering"/>
              <w:numPr>
                <w:ilvl w:val="0"/>
                <w:numId w:val="13"/>
              </w:numPr>
              <w:spacing w:after="0" w:line="240" w:lineRule="auto"/>
              <w:ind w:left="426"/>
              <w:rPr>
                <w:rFonts w:ascii="Century Gothic" w:hAnsi="Century Gothic"/>
                <w:sz w:val="20"/>
                <w:lang w:val="fr-FR"/>
              </w:rPr>
            </w:pPr>
            <w:r w:rsidRPr="006169EC">
              <w:rPr>
                <w:rFonts w:ascii="Century Gothic" w:hAnsi="Century Gothic"/>
                <w:sz w:val="20"/>
                <w:lang w:val="fr-FR"/>
              </w:rPr>
              <w:t xml:space="preserve">Les réalisations enregistrées à date dans le domaine des pistes portent sur la réalisation d’environ  </w:t>
            </w:r>
            <w:r w:rsidRPr="004A7EB7">
              <w:rPr>
                <w:rFonts w:ascii="Century Gothic" w:hAnsi="Century Gothic"/>
                <w:sz w:val="20"/>
                <w:lang w:val="fr-FR"/>
              </w:rPr>
              <w:t>60</w:t>
            </w:r>
            <w:r w:rsidRPr="006169EC">
              <w:rPr>
                <w:rFonts w:ascii="Century Gothic" w:hAnsi="Century Gothic"/>
                <w:b/>
                <w:color w:val="FF0000"/>
                <w:sz w:val="20"/>
                <w:lang w:val="fr-FR"/>
              </w:rPr>
              <w:t xml:space="preserve"> </w:t>
            </w:r>
            <w:r w:rsidRPr="006169EC">
              <w:rPr>
                <w:rFonts w:ascii="Century Gothic" w:hAnsi="Century Gothic"/>
                <w:sz w:val="20"/>
                <w:lang w:val="fr-FR"/>
              </w:rPr>
              <w:t xml:space="preserve">% des études prévues et le démarrage des travaux de réhabilitation de </w:t>
            </w:r>
            <w:r w:rsidR="004A7EB7">
              <w:rPr>
                <w:rFonts w:ascii="Century Gothic" w:hAnsi="Century Gothic"/>
                <w:sz w:val="20"/>
                <w:lang w:val="fr-FR"/>
              </w:rPr>
              <w:t>7,5</w:t>
            </w:r>
            <w:r w:rsidRPr="004A7EB7">
              <w:rPr>
                <w:rFonts w:ascii="Century Gothic" w:hAnsi="Century Gothic"/>
                <w:sz w:val="20"/>
                <w:lang w:val="fr-FR"/>
              </w:rPr>
              <w:t xml:space="preserve"> Km</w:t>
            </w:r>
            <w:r w:rsidRPr="006169EC">
              <w:rPr>
                <w:rFonts w:ascii="Century Gothic" w:hAnsi="Century Gothic"/>
                <w:sz w:val="20"/>
                <w:lang w:val="fr-FR"/>
              </w:rPr>
              <w:t xml:space="preserve"> de piste. Au 31/12/2009, l’état d’avancement des activités de réhabilitation des pistes par région se présente comme suit : </w:t>
            </w:r>
          </w:p>
          <w:p w:rsidR="000169D7" w:rsidRPr="006169EC" w:rsidRDefault="000169D7" w:rsidP="000169D7">
            <w:pPr>
              <w:pStyle w:val="IFADparagraphnumbering"/>
              <w:numPr>
                <w:ilvl w:val="0"/>
                <w:numId w:val="0"/>
              </w:numPr>
              <w:spacing w:after="0"/>
              <w:ind w:left="426"/>
              <w:rPr>
                <w:rFonts w:ascii="Century Gothic" w:hAnsi="Century Gothic"/>
                <w:sz w:val="20"/>
                <w:lang w:val="fr-FR"/>
              </w:rPr>
            </w:pPr>
          </w:p>
          <w:p w:rsidR="000169D7" w:rsidRPr="006169EC" w:rsidRDefault="000169D7" w:rsidP="006247B1">
            <w:pPr>
              <w:pStyle w:val="IFADparagraphnumbering"/>
              <w:numPr>
                <w:ilvl w:val="0"/>
                <w:numId w:val="14"/>
              </w:numPr>
              <w:spacing w:line="240" w:lineRule="auto"/>
              <w:rPr>
                <w:rFonts w:ascii="Century Gothic" w:hAnsi="Century Gothic"/>
                <w:sz w:val="20"/>
                <w:lang w:val="fr-FR"/>
              </w:rPr>
            </w:pPr>
            <w:r w:rsidRPr="006169EC">
              <w:rPr>
                <w:rFonts w:ascii="Century Gothic" w:hAnsi="Century Gothic"/>
                <w:b/>
                <w:sz w:val="20"/>
                <w:u w:val="single"/>
                <w:lang w:val="fr-FR"/>
              </w:rPr>
              <w:t>ANALAMANGA</w:t>
            </w:r>
            <w:r w:rsidRPr="006169EC">
              <w:rPr>
                <w:rFonts w:ascii="Century Gothic" w:hAnsi="Century Gothic"/>
                <w:sz w:val="20"/>
                <w:lang w:val="fr-FR"/>
              </w:rPr>
              <w:t xml:space="preserve"> : (i) </w:t>
            </w:r>
            <w:r w:rsidR="004A7EB7" w:rsidRPr="004A7EB7">
              <w:rPr>
                <w:rFonts w:ascii="Century Gothic" w:hAnsi="Century Gothic"/>
                <w:sz w:val="20"/>
                <w:lang w:val="fr-FR"/>
              </w:rPr>
              <w:t>L</w:t>
            </w:r>
            <w:r w:rsidRPr="004A7EB7">
              <w:rPr>
                <w:rFonts w:ascii="Century Gothic" w:hAnsi="Century Gothic"/>
                <w:sz w:val="20"/>
                <w:lang w:val="fr-FR"/>
              </w:rPr>
              <w:t>es travaux sont en cours</w:t>
            </w:r>
            <w:r w:rsidR="004A7EB7" w:rsidRPr="004A7EB7">
              <w:rPr>
                <w:rFonts w:ascii="Century Gothic" w:hAnsi="Century Gothic"/>
                <w:sz w:val="20"/>
                <w:lang w:val="fr-FR"/>
              </w:rPr>
              <w:t xml:space="preserve"> pour la réhabilitation de 2 piste d’une longueur totale de 7,5 km</w:t>
            </w:r>
            <w:r w:rsidR="00BD1BEC">
              <w:rPr>
                <w:rFonts w:ascii="Century Gothic" w:hAnsi="Century Gothic"/>
                <w:sz w:val="20"/>
                <w:lang w:val="fr-FR"/>
              </w:rPr>
              <w:t xml:space="preserve"> </w:t>
            </w:r>
            <w:r w:rsidRPr="006169EC">
              <w:rPr>
                <w:rFonts w:ascii="Century Gothic" w:hAnsi="Century Gothic"/>
                <w:sz w:val="20"/>
                <w:lang w:val="fr-FR"/>
              </w:rPr>
              <w:t>;</w:t>
            </w:r>
            <w:r w:rsidR="00BD1BEC">
              <w:rPr>
                <w:rFonts w:ascii="Century Gothic" w:hAnsi="Century Gothic"/>
                <w:sz w:val="20"/>
                <w:lang w:val="fr-FR"/>
              </w:rPr>
              <w:t xml:space="preserve"> (ii</w:t>
            </w:r>
            <w:r w:rsidRPr="006169EC">
              <w:rPr>
                <w:rFonts w:ascii="Century Gothic" w:hAnsi="Century Gothic"/>
                <w:sz w:val="20"/>
                <w:lang w:val="fr-FR"/>
              </w:rPr>
              <w:t>) le pro</w:t>
            </w:r>
            <w:r w:rsidR="00CA706A">
              <w:rPr>
                <w:rFonts w:ascii="Century Gothic" w:hAnsi="Century Gothic"/>
                <w:sz w:val="20"/>
                <w:lang w:val="fr-FR"/>
              </w:rPr>
              <w:t>gramme</w:t>
            </w:r>
            <w:r w:rsidRPr="006169EC">
              <w:rPr>
                <w:rFonts w:ascii="Century Gothic" w:hAnsi="Century Gothic"/>
                <w:sz w:val="20"/>
                <w:lang w:val="fr-FR"/>
              </w:rPr>
              <w:t xml:space="preserve"> prévoit de lancer les  DAO pour la réhabilitation de 7 ouvrages  (1 pont, 5 ponceaux et 1 dalot) </w:t>
            </w:r>
            <w:r w:rsidR="00BD1BEC">
              <w:rPr>
                <w:rFonts w:ascii="Century Gothic" w:hAnsi="Century Gothic"/>
                <w:sz w:val="20"/>
                <w:lang w:val="fr-FR"/>
              </w:rPr>
              <w:t xml:space="preserve">le 13 janvier 2010 </w:t>
            </w:r>
            <w:r w:rsidRPr="006169EC">
              <w:rPr>
                <w:rFonts w:ascii="Century Gothic" w:hAnsi="Century Gothic"/>
                <w:sz w:val="20"/>
                <w:lang w:val="fr-FR"/>
              </w:rPr>
              <w:t>; et (i</w:t>
            </w:r>
            <w:r w:rsidR="00BD1BEC">
              <w:rPr>
                <w:rFonts w:ascii="Century Gothic" w:hAnsi="Century Gothic"/>
                <w:sz w:val="20"/>
                <w:lang w:val="fr-FR"/>
              </w:rPr>
              <w:t>ii)</w:t>
            </w:r>
            <w:r w:rsidRPr="006169EC">
              <w:rPr>
                <w:rFonts w:ascii="Century Gothic" w:hAnsi="Century Gothic"/>
                <w:sz w:val="20"/>
                <w:lang w:val="fr-FR"/>
              </w:rPr>
              <w:t xml:space="preserve"> l’APS pour le traitement des points noirs sur une piste de </w:t>
            </w:r>
            <w:smartTag w:uri="urn:schemas-microsoft-com:office:smarttags" w:element="metricconverter">
              <w:smartTagPr>
                <w:attr w:name="ProductID" w:val="9 Km"/>
              </w:smartTagPr>
              <w:r w:rsidRPr="006169EC">
                <w:rPr>
                  <w:rFonts w:ascii="Century Gothic" w:hAnsi="Century Gothic"/>
                  <w:sz w:val="20"/>
                  <w:lang w:val="fr-FR"/>
                </w:rPr>
                <w:t>9 Km</w:t>
              </w:r>
            </w:smartTag>
            <w:r w:rsidRPr="006169EC">
              <w:rPr>
                <w:rFonts w:ascii="Century Gothic" w:hAnsi="Century Gothic"/>
                <w:sz w:val="20"/>
                <w:lang w:val="fr-FR"/>
              </w:rPr>
              <w:t xml:space="preserve"> n’est pas encore terminé suite à la défaillance du BE.</w:t>
            </w:r>
          </w:p>
          <w:p w:rsidR="000169D7" w:rsidRPr="006169EC" w:rsidRDefault="000169D7" w:rsidP="006247B1">
            <w:pPr>
              <w:pStyle w:val="IFADparagraphnumbering"/>
              <w:numPr>
                <w:ilvl w:val="0"/>
                <w:numId w:val="14"/>
              </w:numPr>
              <w:spacing w:line="240" w:lineRule="auto"/>
              <w:rPr>
                <w:rFonts w:ascii="Century Gothic" w:hAnsi="Century Gothic"/>
                <w:sz w:val="20"/>
                <w:lang w:val="fr-FR"/>
              </w:rPr>
            </w:pPr>
            <w:r w:rsidRPr="006169EC">
              <w:rPr>
                <w:rFonts w:ascii="Century Gothic" w:hAnsi="Century Gothic"/>
                <w:b/>
                <w:sz w:val="20"/>
                <w:u w:val="single"/>
                <w:lang w:val="fr-FR"/>
              </w:rPr>
              <w:t>ITASY</w:t>
            </w:r>
            <w:r w:rsidRPr="006169EC">
              <w:rPr>
                <w:rFonts w:ascii="Century Gothic" w:hAnsi="Century Gothic"/>
                <w:sz w:val="20"/>
                <w:lang w:val="fr-FR"/>
              </w:rPr>
              <w:t xml:space="preserve"> : (i) les offres pour la réhabilitation d’une piste de </w:t>
            </w:r>
            <w:smartTag w:uri="urn:schemas-microsoft-com:office:smarttags" w:element="metricconverter">
              <w:smartTagPr>
                <w:attr w:name="ProductID" w:val="7 Km"/>
              </w:smartTagPr>
              <w:r w:rsidRPr="006169EC">
                <w:rPr>
                  <w:rFonts w:ascii="Century Gothic" w:hAnsi="Century Gothic"/>
                  <w:sz w:val="20"/>
                  <w:lang w:val="fr-FR"/>
                </w:rPr>
                <w:t>7 Km</w:t>
              </w:r>
            </w:smartTag>
            <w:r w:rsidRPr="006169EC">
              <w:rPr>
                <w:rFonts w:ascii="Century Gothic" w:hAnsi="Century Gothic"/>
                <w:sz w:val="20"/>
                <w:lang w:val="fr-FR"/>
              </w:rPr>
              <w:t xml:space="preserve"> attendent la validation de la Commission d’appel d’offres du MINAGRI ; et (ii) les études relatives à la réhabilitation d’une piste de </w:t>
            </w:r>
            <w:smartTag w:uri="urn:schemas-microsoft-com:office:smarttags" w:element="metricconverter">
              <w:smartTagPr>
                <w:attr w:name="ProductID" w:val="25 Km"/>
              </w:smartTagPr>
              <w:r w:rsidRPr="006169EC">
                <w:rPr>
                  <w:rFonts w:ascii="Century Gothic" w:hAnsi="Century Gothic"/>
                  <w:sz w:val="20"/>
                  <w:lang w:val="fr-FR"/>
                </w:rPr>
                <w:t>25 Km</w:t>
              </w:r>
            </w:smartTag>
            <w:r w:rsidRPr="006169EC">
              <w:rPr>
                <w:rFonts w:ascii="Century Gothic" w:hAnsi="Century Gothic"/>
                <w:sz w:val="20"/>
                <w:lang w:val="fr-FR"/>
              </w:rPr>
              <w:t xml:space="preserve"> sont reportées pour l’année 2010.</w:t>
            </w:r>
          </w:p>
          <w:p w:rsidR="000169D7" w:rsidRPr="006169EC" w:rsidRDefault="000169D7" w:rsidP="006247B1">
            <w:pPr>
              <w:pStyle w:val="IFADparagraphnumbering"/>
              <w:numPr>
                <w:ilvl w:val="0"/>
                <w:numId w:val="14"/>
              </w:numPr>
              <w:spacing w:line="240" w:lineRule="auto"/>
              <w:rPr>
                <w:rFonts w:ascii="Century Gothic" w:hAnsi="Century Gothic"/>
                <w:sz w:val="20"/>
                <w:lang w:val="fr-FR"/>
              </w:rPr>
            </w:pPr>
            <w:r w:rsidRPr="006169EC">
              <w:rPr>
                <w:rFonts w:ascii="Century Gothic" w:hAnsi="Century Gothic"/>
                <w:b/>
                <w:sz w:val="20"/>
                <w:u w:val="single"/>
                <w:lang w:val="fr-FR"/>
              </w:rPr>
              <w:t>HAUTE MATSIATRA</w:t>
            </w:r>
            <w:r w:rsidRPr="006169EC">
              <w:rPr>
                <w:rFonts w:ascii="Century Gothic" w:hAnsi="Century Gothic"/>
                <w:sz w:val="20"/>
                <w:lang w:val="fr-FR"/>
              </w:rPr>
              <w:t xml:space="preserve"> : (i)  l’analyse des offres pour la réhabilitation d’une piste de </w:t>
            </w:r>
            <w:smartTag w:uri="urn:schemas-microsoft-com:office:smarttags" w:element="metricconverter">
              <w:smartTagPr>
                <w:attr w:name="ProductID" w:val="7 Km"/>
              </w:smartTagPr>
              <w:r w:rsidRPr="006169EC">
                <w:rPr>
                  <w:rFonts w:ascii="Century Gothic" w:hAnsi="Century Gothic"/>
                  <w:sz w:val="20"/>
                  <w:lang w:val="fr-FR"/>
                </w:rPr>
                <w:t>7 Km</w:t>
              </w:r>
            </w:smartTag>
            <w:r w:rsidRPr="006169EC">
              <w:rPr>
                <w:rFonts w:ascii="Century Gothic" w:hAnsi="Century Gothic"/>
                <w:sz w:val="20"/>
                <w:lang w:val="fr-FR"/>
              </w:rPr>
              <w:t xml:space="preserve"> et d’un pont est en cours d’envoi au FIDA pour la non objection ; (ii) le pro</w:t>
            </w:r>
            <w:r w:rsidR="004169FA">
              <w:rPr>
                <w:rFonts w:ascii="Century Gothic" w:hAnsi="Century Gothic"/>
                <w:sz w:val="20"/>
                <w:lang w:val="fr-FR"/>
              </w:rPr>
              <w:t>gramme</w:t>
            </w:r>
            <w:r w:rsidRPr="006169EC">
              <w:rPr>
                <w:rFonts w:ascii="Century Gothic" w:hAnsi="Century Gothic"/>
                <w:sz w:val="20"/>
                <w:lang w:val="fr-FR"/>
              </w:rPr>
              <w:t xml:space="preserve"> prévoit de lancer les DAO pour la réhabilitation de 2 ponts </w:t>
            </w:r>
            <w:r w:rsidR="004169FA">
              <w:rPr>
                <w:rFonts w:ascii="Century Gothic" w:hAnsi="Century Gothic"/>
                <w:sz w:val="20"/>
                <w:lang w:val="fr-FR"/>
              </w:rPr>
              <w:t>courant janvier 2010</w:t>
            </w:r>
            <w:r w:rsidRPr="006169EC">
              <w:rPr>
                <w:rFonts w:ascii="Century Gothic" w:hAnsi="Century Gothic"/>
                <w:sz w:val="20"/>
                <w:lang w:val="fr-FR"/>
              </w:rPr>
              <w:t xml:space="preserve"> ; et iii) les études relatives à la réhabilitation de 2 pistes d’une longueur totale d’environ </w:t>
            </w:r>
            <w:smartTag w:uri="urn:schemas-microsoft-com:office:smarttags" w:element="metricconverter">
              <w:smartTagPr>
                <w:attr w:name="ProductID" w:val="40 Km"/>
              </w:smartTagPr>
              <w:r w:rsidRPr="006169EC">
                <w:rPr>
                  <w:rFonts w:ascii="Century Gothic" w:hAnsi="Century Gothic"/>
                  <w:sz w:val="20"/>
                  <w:lang w:val="fr-FR"/>
                </w:rPr>
                <w:t>40 Km</w:t>
              </w:r>
            </w:smartTag>
            <w:r w:rsidRPr="006169EC">
              <w:rPr>
                <w:rFonts w:ascii="Century Gothic" w:hAnsi="Century Gothic"/>
                <w:sz w:val="20"/>
                <w:lang w:val="fr-FR"/>
              </w:rPr>
              <w:t xml:space="preserve"> sont reportées pour l’année 2010.</w:t>
            </w:r>
          </w:p>
          <w:p w:rsidR="000169D7" w:rsidRDefault="000169D7" w:rsidP="000169D7">
            <w:pPr>
              <w:jc w:val="both"/>
              <w:rPr>
                <w:rFonts w:ascii="Century Gothic" w:hAnsi="Century Gothic"/>
                <w:sz w:val="20"/>
                <w:szCs w:val="20"/>
                <w:lang w:val="fr-FR"/>
              </w:rPr>
            </w:pPr>
            <w:r w:rsidRPr="006169EC">
              <w:rPr>
                <w:rFonts w:ascii="Century Gothic" w:hAnsi="Century Gothic"/>
                <w:sz w:val="20"/>
                <w:szCs w:val="20"/>
                <w:lang w:val="fr-FR"/>
              </w:rPr>
              <w:t>Il ressort de la situation décrite ci-dessus qu’il existe de fortes disparités régionales dans la mise en exécution du volet pistes rurales. En effet, la plupart des activités ont été réalisées dans la région d’Analamanga et, dans une moindre mesure, dans la région de Haute Matsiatra. La région de Vatovavy n’a pas encore démarré les activités tandis que la région de Sofia n’est qu’au stade des APS pour les pistes identifiées. Dans les activités réalisées, la région d’Itasy n’enregistre qu’une seule piste dont les travaux de réhabilitation sont au stade de l’analyse des appels d’offres.</w:t>
            </w:r>
          </w:p>
          <w:p w:rsidR="00F15157" w:rsidRPr="006169EC" w:rsidRDefault="00F15157" w:rsidP="000169D7">
            <w:pPr>
              <w:jc w:val="both"/>
              <w:rPr>
                <w:rFonts w:ascii="Century Gothic" w:hAnsi="Century Gothic"/>
                <w:sz w:val="20"/>
                <w:szCs w:val="20"/>
                <w:lang w:val="fr-FR"/>
              </w:rPr>
            </w:pPr>
          </w:p>
          <w:p w:rsidR="000169D7" w:rsidRPr="00952681" w:rsidRDefault="000169D7" w:rsidP="006247B1">
            <w:pPr>
              <w:pStyle w:val="Paragraphedeliste"/>
              <w:numPr>
                <w:ilvl w:val="0"/>
                <w:numId w:val="13"/>
              </w:numPr>
              <w:spacing w:after="0" w:line="240" w:lineRule="auto"/>
              <w:ind w:left="426"/>
              <w:jc w:val="both"/>
              <w:rPr>
                <w:rFonts w:ascii="Century Gothic" w:hAnsi="Century Gothic"/>
                <w:sz w:val="20"/>
                <w:szCs w:val="20"/>
              </w:rPr>
            </w:pPr>
            <w:r w:rsidRPr="00952681">
              <w:rPr>
                <w:rFonts w:ascii="Century Gothic" w:hAnsi="Century Gothic"/>
                <w:sz w:val="20"/>
                <w:szCs w:val="20"/>
              </w:rPr>
              <w:t>Les travaux d’adduction d’eau prévus pour 2009 concernent les régions de Sofia et Vatovavy. Les APS sont en cours d’élaboration pour Sofia et Vatovavy tandis que les études n’ont pas encore démarré pour Analamanga. Le début des travaux est donc reporté pour 2010.</w:t>
            </w:r>
          </w:p>
          <w:p w:rsidR="000169D7" w:rsidRPr="006169EC" w:rsidRDefault="000169D7" w:rsidP="000169D7">
            <w:pPr>
              <w:jc w:val="both"/>
              <w:rPr>
                <w:rFonts w:ascii="Century Gothic" w:hAnsi="Century Gothic"/>
                <w:sz w:val="20"/>
                <w:szCs w:val="20"/>
              </w:rPr>
            </w:pPr>
          </w:p>
          <w:p w:rsidR="000169D7" w:rsidRPr="006169EC" w:rsidRDefault="000169D7" w:rsidP="000169D7">
            <w:pPr>
              <w:jc w:val="both"/>
              <w:rPr>
                <w:rFonts w:ascii="Century Gothic" w:hAnsi="Century Gothic" w:cs="Arial"/>
                <w:sz w:val="20"/>
                <w:szCs w:val="20"/>
                <w:lang w:val="fr-FR"/>
              </w:rPr>
            </w:pPr>
            <w:r w:rsidRPr="006169EC">
              <w:rPr>
                <w:rFonts w:ascii="Century Gothic" w:hAnsi="Century Gothic"/>
                <w:sz w:val="20"/>
                <w:szCs w:val="20"/>
                <w:lang w:val="fr-FR"/>
              </w:rPr>
              <w:t xml:space="preserve">Sous composante 42 : </w:t>
            </w:r>
            <w:r w:rsidRPr="006169EC">
              <w:rPr>
                <w:rFonts w:ascii="Century Gothic" w:eastAsia="Calibri" w:hAnsi="Century Gothic" w:cs="Arial"/>
                <w:sz w:val="20"/>
                <w:szCs w:val="20"/>
                <w:lang w:val="fr-FR"/>
              </w:rPr>
              <w:t>INVESTISSEMENTS COLLECTIFS DE SOUTIEN AUX FILIERES</w:t>
            </w:r>
          </w:p>
          <w:p w:rsidR="000169D7" w:rsidRPr="006169EC" w:rsidRDefault="000169D7" w:rsidP="000169D7">
            <w:pPr>
              <w:jc w:val="both"/>
              <w:rPr>
                <w:rFonts w:ascii="Century Gothic" w:eastAsia="Calibri" w:hAnsi="Century Gothic" w:cs="Arial"/>
                <w:sz w:val="20"/>
                <w:szCs w:val="20"/>
                <w:lang w:val="fr-FR"/>
              </w:rPr>
            </w:pPr>
          </w:p>
          <w:p w:rsidR="000169D7" w:rsidRPr="00952681" w:rsidRDefault="00F11577" w:rsidP="006247B1">
            <w:pPr>
              <w:pStyle w:val="Paragraphedeliste"/>
              <w:numPr>
                <w:ilvl w:val="0"/>
                <w:numId w:val="13"/>
              </w:numPr>
              <w:spacing w:after="0" w:line="240" w:lineRule="auto"/>
              <w:ind w:left="426"/>
              <w:jc w:val="both"/>
              <w:rPr>
                <w:rFonts w:ascii="Century Gothic" w:hAnsi="Century Gothic"/>
                <w:sz w:val="20"/>
                <w:szCs w:val="20"/>
              </w:rPr>
            </w:pPr>
            <w:r>
              <w:rPr>
                <w:rFonts w:ascii="Century Gothic" w:hAnsi="Century Gothic"/>
                <w:sz w:val="20"/>
                <w:szCs w:val="20"/>
              </w:rPr>
              <w:t xml:space="preserve">La prévision concernant cette sous composante consiste à démarrer </w:t>
            </w:r>
            <w:r w:rsidR="000169D7" w:rsidRPr="00952681">
              <w:rPr>
                <w:rFonts w:ascii="Century Gothic" w:hAnsi="Century Gothic"/>
                <w:sz w:val="20"/>
                <w:szCs w:val="20"/>
              </w:rPr>
              <w:t xml:space="preserve">environ 56% des travaux planifiés avant la fin de l’année 2009. Au 30/11/2009, l’état d’avancement des activités de cette sous composante se présente comme suit : </w:t>
            </w:r>
          </w:p>
          <w:p w:rsidR="000169D7" w:rsidRPr="006169EC" w:rsidRDefault="000169D7" w:rsidP="006247B1">
            <w:pPr>
              <w:pStyle w:val="IFADparagraphnumbering"/>
              <w:numPr>
                <w:ilvl w:val="0"/>
                <w:numId w:val="15"/>
              </w:numPr>
              <w:spacing w:line="240" w:lineRule="auto"/>
              <w:rPr>
                <w:rFonts w:ascii="Century Gothic" w:hAnsi="Century Gothic"/>
                <w:sz w:val="20"/>
                <w:lang w:val="fr-FR"/>
              </w:rPr>
            </w:pPr>
            <w:r w:rsidRPr="006169EC">
              <w:rPr>
                <w:rFonts w:ascii="Century Gothic" w:hAnsi="Century Gothic"/>
                <w:sz w:val="20"/>
                <w:lang w:val="fr-FR"/>
              </w:rPr>
              <w:t xml:space="preserve">Les travaux de construction de 5 points de vente (PV) sur 10 prévus pour les 5 régions démarreront </w:t>
            </w:r>
            <w:r w:rsidR="00F11577">
              <w:rPr>
                <w:rFonts w:ascii="Century Gothic" w:hAnsi="Century Gothic"/>
                <w:sz w:val="20"/>
                <w:lang w:val="fr-FR"/>
              </w:rPr>
              <w:t>courant premier trimestre 2010 et</w:t>
            </w:r>
            <w:r w:rsidRPr="006169EC">
              <w:rPr>
                <w:rFonts w:ascii="Century Gothic" w:hAnsi="Century Gothic"/>
                <w:sz w:val="20"/>
                <w:lang w:val="fr-FR"/>
              </w:rPr>
              <w:t xml:space="preserve"> les travaux de construction des 5 autres PV sont reportés pour 2010. </w:t>
            </w:r>
          </w:p>
          <w:p w:rsidR="000169D7" w:rsidRPr="006169EC" w:rsidRDefault="000169D7" w:rsidP="006247B1">
            <w:pPr>
              <w:pStyle w:val="IFADparagraphnumbering"/>
              <w:numPr>
                <w:ilvl w:val="0"/>
                <w:numId w:val="15"/>
              </w:numPr>
              <w:spacing w:line="240" w:lineRule="auto"/>
              <w:rPr>
                <w:rFonts w:ascii="Century Gothic" w:hAnsi="Century Gothic"/>
                <w:sz w:val="20"/>
                <w:lang w:val="fr-FR"/>
              </w:rPr>
            </w:pPr>
            <w:r w:rsidRPr="006169EC">
              <w:rPr>
                <w:rFonts w:ascii="Century Gothic" w:hAnsi="Century Gothic"/>
                <w:sz w:val="20"/>
                <w:lang w:val="fr-FR"/>
              </w:rPr>
              <w:t xml:space="preserve">Les DAO pour la construction de 3 magasins de stockage dans la région d’Analamanga sont en </w:t>
            </w:r>
            <w:r w:rsidR="00F11577">
              <w:rPr>
                <w:rFonts w:ascii="Century Gothic" w:hAnsi="Century Gothic"/>
                <w:sz w:val="20"/>
                <w:lang w:val="fr-FR"/>
              </w:rPr>
              <w:t>approuvés courant décembre 2009</w:t>
            </w:r>
            <w:r w:rsidRPr="006169EC">
              <w:rPr>
                <w:rFonts w:ascii="Century Gothic" w:hAnsi="Century Gothic"/>
                <w:sz w:val="20"/>
                <w:lang w:val="fr-FR"/>
              </w:rPr>
              <w:t>.</w:t>
            </w:r>
          </w:p>
          <w:p w:rsidR="000169D7" w:rsidRPr="00952681" w:rsidRDefault="000169D7" w:rsidP="006247B1">
            <w:pPr>
              <w:pStyle w:val="Paragraphedeliste"/>
              <w:numPr>
                <w:ilvl w:val="0"/>
                <w:numId w:val="16"/>
              </w:numPr>
              <w:rPr>
                <w:rFonts w:ascii="Century Gothic" w:hAnsi="Century Gothic"/>
                <w:sz w:val="20"/>
                <w:szCs w:val="20"/>
              </w:rPr>
            </w:pPr>
            <w:r w:rsidRPr="00952681">
              <w:rPr>
                <w:rFonts w:ascii="Century Gothic" w:hAnsi="Century Gothic"/>
                <w:sz w:val="20"/>
                <w:szCs w:val="20"/>
              </w:rPr>
              <w:t>L’</w:t>
            </w:r>
            <w:r w:rsidR="00F11577">
              <w:rPr>
                <w:rFonts w:ascii="Century Gothic" w:hAnsi="Century Gothic"/>
                <w:sz w:val="20"/>
                <w:szCs w:val="20"/>
              </w:rPr>
              <w:t xml:space="preserve">élaboration du DAO </w:t>
            </w:r>
            <w:r w:rsidRPr="00952681">
              <w:rPr>
                <w:rFonts w:ascii="Century Gothic" w:hAnsi="Century Gothic"/>
                <w:sz w:val="20"/>
                <w:szCs w:val="20"/>
              </w:rPr>
              <w:t xml:space="preserve">pour la construction d’un atelier de travail pour les vannières dans la </w:t>
            </w:r>
            <w:r w:rsidRPr="00952681">
              <w:rPr>
                <w:rFonts w:ascii="Century Gothic" w:hAnsi="Century Gothic"/>
                <w:sz w:val="20"/>
                <w:szCs w:val="20"/>
              </w:rPr>
              <w:lastRenderedPageBreak/>
              <w:t>région de Haute Matsiatra est en</w:t>
            </w:r>
            <w:r w:rsidR="00F11577">
              <w:rPr>
                <w:rFonts w:ascii="Century Gothic" w:hAnsi="Century Gothic"/>
                <w:sz w:val="20"/>
                <w:szCs w:val="20"/>
              </w:rPr>
              <w:t xml:space="preserve"> cours.</w:t>
            </w:r>
          </w:p>
          <w:p w:rsidR="000169D7" w:rsidRPr="006169EC" w:rsidRDefault="000169D7" w:rsidP="000169D7">
            <w:pPr>
              <w:pStyle w:val="IFADparagraphnumbering"/>
              <w:numPr>
                <w:ilvl w:val="0"/>
                <w:numId w:val="0"/>
              </w:numPr>
              <w:rPr>
                <w:rFonts w:ascii="Century Gothic" w:hAnsi="Century Gothic"/>
                <w:sz w:val="20"/>
                <w:lang w:val="fr-FR"/>
              </w:rPr>
            </w:pPr>
            <w:r w:rsidRPr="006169EC">
              <w:rPr>
                <w:rFonts w:ascii="Century Gothic" w:hAnsi="Century Gothic"/>
                <w:sz w:val="20"/>
                <w:lang w:val="fr-FR"/>
              </w:rPr>
              <w:t>à l’inverse des pistes rurales, les disparités régionales sont moins prononcées dans la mise en exécution des autres infrastructures. A l’exception de la région de Sofia dont les travaux sont tous au stade des APS, les travaux pour les autres régions sont soit au stade de l’élaboration des DAO, soit au stade de la finalisation des APD</w:t>
            </w:r>
          </w:p>
          <w:p w:rsidR="000169D7" w:rsidRPr="006169EC" w:rsidRDefault="000169D7" w:rsidP="000169D7">
            <w:pPr>
              <w:pStyle w:val="IFADparagraphnumbering"/>
              <w:numPr>
                <w:ilvl w:val="0"/>
                <w:numId w:val="0"/>
              </w:numPr>
              <w:spacing w:after="0"/>
              <w:rPr>
                <w:rFonts w:ascii="Century Gothic" w:hAnsi="Century Gothic"/>
                <w:sz w:val="20"/>
                <w:lang w:val="fr-FR"/>
              </w:rPr>
            </w:pPr>
            <w:r w:rsidRPr="006169EC">
              <w:rPr>
                <w:rFonts w:ascii="Century Gothic" w:hAnsi="Century Gothic"/>
                <w:sz w:val="20"/>
                <w:lang w:val="fr-FR"/>
              </w:rPr>
              <w:t xml:space="preserve">En plus de la crise politique, 2 facteurs seraient à la base des retards enregistrés dans l’exécution de la composante : i) les BE n’ont pas respecté les délais contractuels de remise des rapports requis, particulièrement en raison du paiement tardif de leurs prestations ; et ii) la non disponibilité du consultant pour la visite des sites validés avant l’élaboration des TdR des BE, particulièrement dans des régions éloignées comme Sofia. Vu le volume important de travaux en infrastructures qui reste à réaliser pour les 2 prochaines années, la mission est d’avis qu’il faudrait recruter un responsable de la composante « Infrastructures » pour une durée ne dépassant pas 2 ans. Tout en étant basé à l’EPN, ce responsable passera au moins 50% de son temps dans les 3 régions les plus éloignées du siège de PROSPERER.  </w:t>
            </w:r>
          </w:p>
          <w:p w:rsidR="000169D7" w:rsidRPr="000169D7" w:rsidRDefault="000169D7" w:rsidP="000169D7">
            <w:pPr>
              <w:rPr>
                <w:rFonts w:ascii="Century Gothic" w:hAnsi="Century Gothic"/>
                <w:b/>
                <w:i/>
                <w:sz w:val="20"/>
                <w:szCs w:val="20"/>
                <w:lang w:val="fr-FR"/>
              </w:rPr>
            </w:pPr>
          </w:p>
          <w:p w:rsidR="000169D7" w:rsidRPr="006169EC" w:rsidRDefault="000169D7" w:rsidP="000169D7">
            <w:pPr>
              <w:jc w:val="both"/>
              <w:rPr>
                <w:rFonts w:ascii="Century Gothic" w:hAnsi="Century Gothic"/>
                <w:b/>
                <w:sz w:val="20"/>
                <w:szCs w:val="20"/>
                <w:u w:val="single"/>
                <w:lang w:val="fr-FR"/>
              </w:rPr>
            </w:pPr>
            <w:r w:rsidRPr="006169EC">
              <w:rPr>
                <w:rFonts w:ascii="Century Gothic" w:hAnsi="Century Gothic"/>
                <w:b/>
                <w:sz w:val="20"/>
                <w:szCs w:val="20"/>
                <w:u w:val="single"/>
                <w:lang w:val="fr-FR"/>
              </w:rPr>
              <w:t>En termes de Produits issus des activités</w:t>
            </w:r>
          </w:p>
          <w:p w:rsidR="000169D7" w:rsidRPr="000169D7" w:rsidRDefault="000169D7" w:rsidP="000169D7">
            <w:pPr>
              <w:jc w:val="both"/>
              <w:rPr>
                <w:rFonts w:ascii="Century Gothic" w:hAnsi="Century Gothic"/>
                <w:b/>
                <w:i/>
                <w:sz w:val="20"/>
                <w:szCs w:val="20"/>
                <w:lang w:val="fr-FR"/>
              </w:rPr>
            </w:pPr>
          </w:p>
          <w:p w:rsidR="000169D7" w:rsidRPr="000169D7" w:rsidRDefault="000169D7" w:rsidP="000169D7">
            <w:pPr>
              <w:jc w:val="both"/>
              <w:rPr>
                <w:rFonts w:ascii="Century Gothic" w:hAnsi="Century Gothic"/>
                <w:sz w:val="20"/>
                <w:szCs w:val="20"/>
                <w:lang w:val="fr-FR"/>
              </w:rPr>
            </w:pPr>
            <w:r w:rsidRPr="000169D7">
              <w:rPr>
                <w:rFonts w:ascii="Century Gothic" w:hAnsi="Century Gothic"/>
                <w:sz w:val="20"/>
                <w:szCs w:val="20"/>
                <w:lang w:val="fr-FR"/>
              </w:rPr>
              <w:t>Les produits attendus au titre de ce PTBA 2009 ne sont pas atteints, ils feront tous l’objet d’un glissement pour le PTBA 2010 du Programme.</w:t>
            </w:r>
          </w:p>
          <w:p w:rsidR="000169D7" w:rsidRPr="000169D7" w:rsidRDefault="000169D7" w:rsidP="000169D7">
            <w:pPr>
              <w:jc w:val="both"/>
              <w:rPr>
                <w:rFonts w:ascii="Century Gothic" w:hAnsi="Century Gothic"/>
                <w:sz w:val="20"/>
                <w:szCs w:val="20"/>
                <w:lang w:val="fr-FR"/>
              </w:rPr>
            </w:pPr>
          </w:p>
          <w:p w:rsidR="000169D7" w:rsidRPr="00893AAF" w:rsidRDefault="000169D7" w:rsidP="000169D7">
            <w:pPr>
              <w:jc w:val="both"/>
              <w:rPr>
                <w:rFonts w:eastAsia="Calibri"/>
                <w:b/>
                <w:sz w:val="22"/>
                <w:szCs w:val="22"/>
                <w:lang w:val="fr-FR"/>
              </w:rPr>
            </w:pPr>
            <w:r w:rsidRPr="00893AAF">
              <w:rPr>
                <w:b/>
                <w:sz w:val="22"/>
                <w:szCs w:val="22"/>
                <w:lang w:val="fr-FR"/>
              </w:rPr>
              <w:t>COMPOSANTE 5 </w:t>
            </w:r>
            <w:r w:rsidRPr="00893AAF">
              <w:rPr>
                <w:sz w:val="22"/>
                <w:szCs w:val="22"/>
                <w:lang w:val="fr-FR"/>
              </w:rPr>
              <w:t xml:space="preserve">: </w:t>
            </w:r>
            <w:r w:rsidRPr="00893AAF">
              <w:rPr>
                <w:rFonts w:eastAsia="Calibri"/>
                <w:b/>
                <w:sz w:val="22"/>
                <w:szCs w:val="22"/>
                <w:lang w:val="fr-FR"/>
              </w:rPr>
              <w:t xml:space="preserve">SUIVI EVALUATION, CAPITALISATION ET COMMUNICATION </w:t>
            </w:r>
          </w:p>
          <w:p w:rsidR="000169D7" w:rsidRPr="000169D7" w:rsidRDefault="000169D7" w:rsidP="000169D7">
            <w:pPr>
              <w:jc w:val="both"/>
              <w:rPr>
                <w:rFonts w:ascii="Century Gothic" w:hAnsi="Century Gothic"/>
                <w:b/>
                <w:sz w:val="20"/>
                <w:szCs w:val="20"/>
                <w:u w:val="single"/>
                <w:lang w:val="fr-FR"/>
              </w:rPr>
            </w:pPr>
          </w:p>
          <w:p w:rsidR="000169D7" w:rsidRPr="006169EC" w:rsidRDefault="006169EC" w:rsidP="000169D7">
            <w:pPr>
              <w:rPr>
                <w:rFonts w:ascii="Century Gothic" w:hAnsi="Century Gothic"/>
                <w:b/>
                <w:sz w:val="20"/>
                <w:szCs w:val="20"/>
                <w:u w:val="single"/>
                <w:lang w:val="fr-FR"/>
              </w:rPr>
            </w:pPr>
            <w:r>
              <w:rPr>
                <w:rFonts w:ascii="Century Gothic" w:hAnsi="Century Gothic"/>
                <w:b/>
                <w:sz w:val="20"/>
                <w:szCs w:val="20"/>
                <w:u w:val="single"/>
                <w:lang w:val="fr-FR"/>
              </w:rPr>
              <w:t>En termes  d’activités</w:t>
            </w:r>
          </w:p>
          <w:p w:rsidR="000169D7" w:rsidRDefault="000169D7" w:rsidP="000169D7">
            <w:pPr>
              <w:rPr>
                <w:rFonts w:ascii="Century Gothic" w:hAnsi="Century Gothic"/>
                <w:sz w:val="20"/>
                <w:szCs w:val="20"/>
                <w:lang w:val="fr-FR"/>
              </w:rPr>
            </w:pPr>
          </w:p>
          <w:p w:rsidR="003A48F3" w:rsidRPr="00CE65DC" w:rsidRDefault="00CE65DC" w:rsidP="00CE65DC">
            <w:pPr>
              <w:jc w:val="both"/>
              <w:rPr>
                <w:rFonts w:ascii="Century Gothic" w:hAnsi="Century Gothic"/>
                <w:sz w:val="20"/>
                <w:szCs w:val="20"/>
                <w:lang w:val="fr-FR"/>
              </w:rPr>
            </w:pPr>
            <w:r w:rsidRPr="00CE65DC">
              <w:rPr>
                <w:rFonts w:ascii="Century Gothic" w:hAnsi="Century Gothic"/>
                <w:sz w:val="20"/>
                <w:szCs w:val="20"/>
                <w:lang w:val="fr-FR"/>
              </w:rPr>
              <w:t>Cette composante concerne les dimensions transversales destinées à faciliter l’exécution des autres composantes</w:t>
            </w:r>
            <w:r>
              <w:rPr>
                <w:rFonts w:ascii="Century Gothic" w:hAnsi="Century Gothic"/>
                <w:sz w:val="20"/>
                <w:szCs w:val="20"/>
                <w:lang w:val="fr-FR"/>
              </w:rPr>
              <w:t xml:space="preserve">. </w:t>
            </w:r>
            <w:r w:rsidR="00752CAF" w:rsidRPr="000169D7">
              <w:rPr>
                <w:rFonts w:ascii="Century Gothic" w:hAnsi="Century Gothic"/>
                <w:sz w:val="20"/>
                <w:szCs w:val="20"/>
                <w:lang w:val="fr-FR"/>
              </w:rPr>
              <w:t>Au plan de réalisations physiques, le taux de réalisation</w:t>
            </w:r>
            <w:r w:rsidR="00752CAF">
              <w:rPr>
                <w:rFonts w:ascii="Century Gothic" w:hAnsi="Century Gothic"/>
                <w:sz w:val="20"/>
                <w:szCs w:val="20"/>
                <w:lang w:val="fr-FR"/>
              </w:rPr>
              <w:t xml:space="preserve"> de la composante </w:t>
            </w:r>
            <w:r w:rsidR="00752CAF" w:rsidRPr="000169D7">
              <w:rPr>
                <w:rFonts w:ascii="Century Gothic" w:hAnsi="Century Gothic"/>
                <w:sz w:val="20"/>
                <w:szCs w:val="20"/>
                <w:lang w:val="fr-FR"/>
              </w:rPr>
              <w:t>se chi</w:t>
            </w:r>
            <w:r w:rsidR="00752CAF">
              <w:rPr>
                <w:rFonts w:ascii="Century Gothic" w:hAnsi="Century Gothic"/>
                <w:sz w:val="20"/>
                <w:szCs w:val="20"/>
                <w:lang w:val="fr-FR"/>
              </w:rPr>
              <w:t>ffre à</w:t>
            </w:r>
            <w:r w:rsidR="00752CAF" w:rsidRPr="000169D7">
              <w:rPr>
                <w:rFonts w:ascii="Century Gothic" w:hAnsi="Century Gothic"/>
                <w:sz w:val="20"/>
                <w:szCs w:val="20"/>
                <w:lang w:val="fr-FR"/>
              </w:rPr>
              <w:t xml:space="preserve"> </w:t>
            </w:r>
            <w:r w:rsidR="00752CAF">
              <w:rPr>
                <w:rFonts w:ascii="Century Gothic" w:hAnsi="Century Gothic"/>
                <w:sz w:val="20"/>
                <w:szCs w:val="20"/>
                <w:lang w:val="fr-FR"/>
              </w:rPr>
              <w:t xml:space="preserve">plus de 64 </w:t>
            </w:r>
            <w:r w:rsidR="00752CAF" w:rsidRPr="006E43A2">
              <w:rPr>
                <w:rFonts w:ascii="Century Gothic" w:hAnsi="Century Gothic"/>
                <w:sz w:val="20"/>
                <w:szCs w:val="20"/>
                <w:lang w:val="fr-FR"/>
              </w:rPr>
              <w:t>%</w:t>
            </w:r>
            <w:r w:rsidR="00752CAF" w:rsidRPr="000169D7">
              <w:rPr>
                <w:rFonts w:ascii="Century Gothic" w:hAnsi="Century Gothic"/>
                <w:sz w:val="20"/>
                <w:szCs w:val="20"/>
                <w:lang w:val="fr-FR"/>
              </w:rPr>
              <w:t>.</w:t>
            </w:r>
            <w:r w:rsidR="00752CAF">
              <w:rPr>
                <w:rFonts w:ascii="Century Gothic" w:hAnsi="Century Gothic"/>
                <w:sz w:val="20"/>
                <w:szCs w:val="20"/>
                <w:lang w:val="fr-FR"/>
              </w:rPr>
              <w:t xml:space="preserve"> </w:t>
            </w:r>
            <w:r w:rsidR="009005A2" w:rsidRPr="009005A2">
              <w:rPr>
                <w:rFonts w:ascii="Century Gothic" w:hAnsi="Century Gothic" w:cs="Arial"/>
                <w:sz w:val="20"/>
                <w:szCs w:val="20"/>
                <w:lang w:val="fr-FR"/>
              </w:rPr>
              <w:t xml:space="preserve">Les principaux objectifs de cette composante sont presque atteints, car la consolidation des activités du Programme est réalisée, l’opérationnalisation du système SE en phase de terminaison et la promotion </w:t>
            </w:r>
            <w:r w:rsidR="009005A2" w:rsidRPr="00916318">
              <w:rPr>
                <w:rFonts w:ascii="Century Gothic" w:hAnsi="Century Gothic"/>
                <w:sz w:val="20"/>
                <w:szCs w:val="20"/>
                <w:lang w:val="fr-BE"/>
              </w:rPr>
              <w:t>des outils et moyens de communication en milieu rural</w:t>
            </w:r>
            <w:r w:rsidR="009005A2">
              <w:rPr>
                <w:rFonts w:ascii="Century Gothic" w:hAnsi="Century Gothic"/>
                <w:sz w:val="20"/>
                <w:szCs w:val="20"/>
                <w:lang w:val="fr-BE"/>
              </w:rPr>
              <w:t xml:space="preserve"> est en marche mais le démarrage de l’élaboration du plan de communication a subi  de retard mais sera disponible courant premier trimestre 2010. </w:t>
            </w:r>
          </w:p>
          <w:p w:rsidR="003A48F3" w:rsidRPr="000169D7" w:rsidRDefault="003A48F3" w:rsidP="000169D7">
            <w:pPr>
              <w:rPr>
                <w:rFonts w:ascii="Century Gothic" w:hAnsi="Century Gothic"/>
                <w:sz w:val="20"/>
                <w:szCs w:val="20"/>
                <w:lang w:val="fr-FR"/>
              </w:rPr>
            </w:pPr>
          </w:p>
          <w:p w:rsidR="000169D7" w:rsidRDefault="000169D7" w:rsidP="000169D7">
            <w:pPr>
              <w:rPr>
                <w:rFonts w:ascii="Century Gothic" w:eastAsia="Calibri" w:hAnsi="Century Gothic" w:cs="Arial"/>
                <w:sz w:val="20"/>
                <w:szCs w:val="20"/>
                <w:lang w:val="fr-FR"/>
              </w:rPr>
            </w:pPr>
            <w:r w:rsidRPr="000169D7">
              <w:rPr>
                <w:rFonts w:ascii="Century Gothic" w:hAnsi="Century Gothic"/>
                <w:sz w:val="20"/>
                <w:szCs w:val="20"/>
                <w:lang w:val="fr-FR"/>
              </w:rPr>
              <w:t xml:space="preserve">Sous composante 51 : </w:t>
            </w:r>
            <w:r w:rsidRPr="000169D7">
              <w:rPr>
                <w:rFonts w:ascii="Century Gothic" w:eastAsia="Calibri" w:hAnsi="Century Gothic" w:cs="Arial"/>
                <w:sz w:val="20"/>
                <w:szCs w:val="20"/>
                <w:lang w:val="fr-FR"/>
              </w:rPr>
              <w:t>PLANIFICATION ET SUIVI EVALUATION</w:t>
            </w:r>
          </w:p>
          <w:p w:rsidR="00F15157" w:rsidRPr="000169D7" w:rsidRDefault="00F15157" w:rsidP="000169D7">
            <w:pPr>
              <w:rPr>
                <w:rFonts w:ascii="Century Gothic" w:eastAsia="Calibri" w:hAnsi="Century Gothic" w:cs="Arial"/>
                <w:sz w:val="20"/>
                <w:szCs w:val="20"/>
                <w:lang w:val="fr-FR"/>
              </w:rPr>
            </w:pPr>
          </w:p>
          <w:p w:rsidR="000169D7" w:rsidRPr="00952681" w:rsidRDefault="000169D7" w:rsidP="006247B1">
            <w:pPr>
              <w:pStyle w:val="Paragraphedeliste"/>
              <w:numPr>
                <w:ilvl w:val="0"/>
                <w:numId w:val="13"/>
              </w:numPr>
              <w:ind w:left="426"/>
              <w:jc w:val="both"/>
              <w:rPr>
                <w:rFonts w:ascii="Century Gothic" w:hAnsi="Century Gothic"/>
                <w:sz w:val="20"/>
                <w:szCs w:val="20"/>
              </w:rPr>
            </w:pPr>
            <w:r w:rsidRPr="00952681">
              <w:rPr>
                <w:rFonts w:ascii="Century Gothic" w:hAnsi="Century Gothic"/>
                <w:sz w:val="20"/>
                <w:szCs w:val="20"/>
              </w:rPr>
              <w:t xml:space="preserve">Tout le personnel du Programme est recruté. </w:t>
            </w:r>
          </w:p>
          <w:p w:rsidR="000169D7" w:rsidRPr="00952681" w:rsidRDefault="000169D7" w:rsidP="006247B1">
            <w:pPr>
              <w:pStyle w:val="Paragraphedeliste"/>
              <w:numPr>
                <w:ilvl w:val="0"/>
                <w:numId w:val="13"/>
              </w:numPr>
              <w:ind w:left="426"/>
              <w:jc w:val="both"/>
              <w:rPr>
                <w:rFonts w:ascii="Century Gothic" w:hAnsi="Century Gothic"/>
                <w:sz w:val="20"/>
                <w:szCs w:val="20"/>
              </w:rPr>
            </w:pPr>
            <w:r w:rsidRPr="00952681">
              <w:rPr>
                <w:rFonts w:ascii="Century Gothic" w:hAnsi="Century Gothic"/>
                <w:sz w:val="20"/>
                <w:szCs w:val="20"/>
              </w:rPr>
              <w:t>La plupart des formations du personnel prévues au PTBA sont réalisées; elles ont concerné la passation de marché, le management et le leadership, les outils de gestion comptable et financière (TOMPRO), la culture entrepreneuriale, la langue anglaise, la structuration du monde rural, et la gestion de site web (SPIP). Les équipes du Programme PROSPERER bénéficient aussi les  formations  en genre (ASEG) et approche des moyens d’existence durable (</w:t>
            </w:r>
            <w:smartTag w:uri="urn:schemas-microsoft-com:office:smarttags" w:element="stockticker">
              <w:r w:rsidRPr="00952681">
                <w:rPr>
                  <w:rFonts w:ascii="Century Gothic" w:hAnsi="Century Gothic"/>
                  <w:sz w:val="20"/>
                  <w:szCs w:val="20"/>
                </w:rPr>
                <w:t>AMED</w:t>
              </w:r>
            </w:smartTag>
            <w:r w:rsidRPr="00952681">
              <w:rPr>
                <w:rFonts w:ascii="Century Gothic" w:hAnsi="Century Gothic"/>
                <w:sz w:val="20"/>
                <w:szCs w:val="20"/>
              </w:rPr>
              <w:t>) organisées par la CAPFIDA. Restent à faire les formations en procédures de finances publiques et en approche filière/chaîne de valeurs, au premier trimestre 2010.</w:t>
            </w:r>
          </w:p>
          <w:p w:rsidR="000169D7" w:rsidRPr="00952681" w:rsidRDefault="000169D7" w:rsidP="006247B1">
            <w:pPr>
              <w:pStyle w:val="Paragraphedeliste"/>
              <w:numPr>
                <w:ilvl w:val="0"/>
                <w:numId w:val="13"/>
              </w:numPr>
              <w:ind w:left="426"/>
              <w:jc w:val="both"/>
              <w:rPr>
                <w:rFonts w:ascii="Century Gothic" w:hAnsi="Century Gothic"/>
                <w:sz w:val="20"/>
                <w:szCs w:val="20"/>
              </w:rPr>
            </w:pPr>
            <w:r w:rsidRPr="00952681">
              <w:rPr>
                <w:rFonts w:ascii="Century Gothic" w:hAnsi="Century Gothic"/>
                <w:sz w:val="20"/>
                <w:szCs w:val="20"/>
              </w:rPr>
              <w:t>L’avancement physique de l’acquisition des matériels, équipements informatiques/ logiciels, moyens de déplacement est de 85%.</w:t>
            </w:r>
          </w:p>
          <w:p w:rsidR="000169D7" w:rsidRPr="00952681" w:rsidRDefault="000169D7" w:rsidP="006247B1">
            <w:pPr>
              <w:pStyle w:val="Paragraphedeliste"/>
              <w:numPr>
                <w:ilvl w:val="0"/>
                <w:numId w:val="13"/>
              </w:numPr>
              <w:ind w:left="426"/>
              <w:jc w:val="both"/>
              <w:rPr>
                <w:rFonts w:ascii="Century Gothic" w:hAnsi="Century Gothic" w:cs="Arial"/>
                <w:sz w:val="20"/>
                <w:szCs w:val="20"/>
              </w:rPr>
            </w:pPr>
            <w:r w:rsidRPr="00952681">
              <w:rPr>
                <w:rFonts w:ascii="Century Gothic" w:hAnsi="Century Gothic"/>
                <w:sz w:val="20"/>
                <w:szCs w:val="20"/>
                <w:lang w:val="fr-BE"/>
              </w:rPr>
              <w:t xml:space="preserve">L’opérationnalisation du système de suivi et d’évaluation (SE) est en cours. Elle a démarré en août 2009 et à la fin d’année 2009, les phases suivantes sont réalisées : </w:t>
            </w:r>
            <w:r w:rsidRPr="00952681">
              <w:rPr>
                <w:rFonts w:ascii="Century Gothic" w:hAnsi="Century Gothic" w:cs="Arial"/>
                <w:sz w:val="20"/>
                <w:szCs w:val="20"/>
              </w:rPr>
              <w:t>Analyse et amélioration du cadre logique et des indicateurs, Elaboration du système de suivi-évaluation du Programme, Liaison entre dispositif de S&amp;E et méthode de planification. Restent à faire au cours du premier trimestre 2010 la Validation, finalisation du dispositif de suivi-évaluation au niveau du programme PROSPEER, la Formation du personnel du projet et ses partenaires, et mise en place du dispositif S&amp;E et le Test d’application du SSE et accompagnement du personnel du programme.</w:t>
            </w:r>
          </w:p>
          <w:p w:rsidR="000169D7" w:rsidRPr="00952681" w:rsidRDefault="000169D7" w:rsidP="006247B1">
            <w:pPr>
              <w:pStyle w:val="Paragraphedeliste"/>
              <w:numPr>
                <w:ilvl w:val="0"/>
                <w:numId w:val="13"/>
              </w:numPr>
              <w:ind w:left="426"/>
              <w:jc w:val="both"/>
              <w:rPr>
                <w:rFonts w:ascii="Century Gothic" w:hAnsi="Century Gothic"/>
                <w:sz w:val="20"/>
                <w:szCs w:val="20"/>
              </w:rPr>
            </w:pPr>
            <w:r w:rsidRPr="00952681">
              <w:rPr>
                <w:rFonts w:ascii="Century Gothic" w:hAnsi="Century Gothic"/>
                <w:sz w:val="20"/>
                <w:szCs w:val="20"/>
                <w:lang w:val="fr-BE"/>
              </w:rPr>
              <w:t xml:space="preserve">La Situation de référence du Programme est disponible. Pourtant la réalisation et le traitement des enquêtes </w:t>
            </w:r>
            <w:r w:rsidR="00F15157" w:rsidRPr="00952681">
              <w:rPr>
                <w:rFonts w:ascii="Century Gothic" w:hAnsi="Century Gothic"/>
                <w:sz w:val="20"/>
                <w:szCs w:val="20"/>
                <w:lang w:val="fr-BE"/>
              </w:rPr>
              <w:t>ont été retardés</w:t>
            </w:r>
            <w:r w:rsidRPr="00952681">
              <w:rPr>
                <w:rFonts w:ascii="Century Gothic" w:hAnsi="Century Gothic"/>
                <w:sz w:val="20"/>
                <w:szCs w:val="20"/>
                <w:lang w:val="fr-BE"/>
              </w:rPr>
              <w:t xml:space="preserve"> en raison de la crise politique, de même les prestations inégales des ONG locales recrutées pour la collecte des données nécessitent une durée accrue pour le contrôle et l’apurement des données</w:t>
            </w:r>
          </w:p>
          <w:p w:rsidR="00C25655" w:rsidRDefault="00C25655" w:rsidP="000169D7">
            <w:pPr>
              <w:jc w:val="both"/>
              <w:rPr>
                <w:rFonts w:ascii="Century Gothic" w:hAnsi="Century Gothic"/>
                <w:sz w:val="20"/>
                <w:szCs w:val="20"/>
                <w:lang w:val="fr-FR"/>
              </w:rPr>
            </w:pPr>
          </w:p>
          <w:p w:rsidR="000169D7" w:rsidRPr="000169D7" w:rsidRDefault="000169D7" w:rsidP="000169D7">
            <w:pPr>
              <w:jc w:val="both"/>
              <w:rPr>
                <w:rFonts w:ascii="Century Gothic" w:hAnsi="Century Gothic"/>
                <w:sz w:val="20"/>
                <w:szCs w:val="20"/>
                <w:lang w:val="fr-FR"/>
              </w:rPr>
            </w:pPr>
            <w:r w:rsidRPr="000169D7">
              <w:rPr>
                <w:rFonts w:ascii="Century Gothic" w:hAnsi="Century Gothic"/>
                <w:sz w:val="20"/>
                <w:szCs w:val="20"/>
                <w:lang w:val="fr-FR"/>
              </w:rPr>
              <w:lastRenderedPageBreak/>
              <w:t xml:space="preserve">Sous composante 52 : </w:t>
            </w:r>
            <w:r w:rsidRPr="000169D7">
              <w:rPr>
                <w:rFonts w:ascii="Century Gothic" w:eastAsia="Calibri" w:hAnsi="Century Gothic"/>
                <w:sz w:val="20"/>
                <w:szCs w:val="20"/>
                <w:lang w:val="fr-FR"/>
              </w:rPr>
              <w:t>CAPITALISATION DES SAVOIRS ET COMMUNICATION</w:t>
            </w:r>
          </w:p>
          <w:p w:rsidR="000169D7" w:rsidRPr="000169D7" w:rsidRDefault="000169D7" w:rsidP="000169D7">
            <w:pPr>
              <w:jc w:val="both"/>
              <w:rPr>
                <w:rFonts w:ascii="Century Gothic" w:eastAsia="Calibri" w:hAnsi="Century Gothic"/>
                <w:sz w:val="20"/>
                <w:szCs w:val="20"/>
                <w:lang w:val="fr-FR"/>
              </w:rPr>
            </w:pPr>
          </w:p>
          <w:p w:rsidR="000169D7" w:rsidRPr="00952681" w:rsidRDefault="000169D7" w:rsidP="006247B1">
            <w:pPr>
              <w:pStyle w:val="Paragraphedeliste"/>
              <w:numPr>
                <w:ilvl w:val="0"/>
                <w:numId w:val="17"/>
              </w:numPr>
              <w:spacing w:after="0" w:line="240" w:lineRule="auto"/>
              <w:ind w:left="426"/>
              <w:jc w:val="both"/>
              <w:rPr>
                <w:rFonts w:ascii="Century Gothic" w:hAnsi="Century Gothic"/>
                <w:sz w:val="20"/>
                <w:szCs w:val="20"/>
              </w:rPr>
            </w:pPr>
            <w:r w:rsidRPr="00952681">
              <w:rPr>
                <w:rFonts w:ascii="Century Gothic" w:hAnsi="Century Gothic"/>
                <w:sz w:val="20"/>
                <w:szCs w:val="20"/>
              </w:rPr>
              <w:t>Les campagnes de communication ont été poursuivies par district et par commune par les cadres de l’</w:t>
            </w:r>
            <w:smartTag w:uri="urn:schemas-microsoft-com:office:smarttags" w:element="stockticker">
              <w:r w:rsidRPr="00952681">
                <w:rPr>
                  <w:rFonts w:ascii="Century Gothic" w:hAnsi="Century Gothic"/>
                  <w:sz w:val="20"/>
                  <w:szCs w:val="20"/>
                </w:rPr>
                <w:t>EPR</w:t>
              </w:r>
            </w:smartTag>
            <w:r w:rsidRPr="00952681">
              <w:rPr>
                <w:rFonts w:ascii="Century Gothic" w:hAnsi="Century Gothic"/>
                <w:sz w:val="20"/>
                <w:szCs w:val="20"/>
              </w:rPr>
              <w:t xml:space="preserve"> (réunions et émissions radio) en début d’année 2009, puis les CE ont pris le relais à partir de mars 2009</w:t>
            </w:r>
          </w:p>
          <w:p w:rsidR="006169EC" w:rsidRPr="00952681" w:rsidRDefault="006169EC" w:rsidP="006169EC">
            <w:pPr>
              <w:pStyle w:val="Paragraphedeliste"/>
              <w:spacing w:after="0" w:line="240" w:lineRule="auto"/>
              <w:ind w:left="426"/>
              <w:jc w:val="both"/>
              <w:rPr>
                <w:rFonts w:ascii="Century Gothic" w:hAnsi="Century Gothic"/>
                <w:sz w:val="20"/>
                <w:szCs w:val="20"/>
              </w:rPr>
            </w:pPr>
          </w:p>
          <w:p w:rsidR="000169D7" w:rsidRPr="00952681" w:rsidRDefault="000169D7" w:rsidP="006247B1">
            <w:pPr>
              <w:pStyle w:val="Paragraphedeliste"/>
              <w:numPr>
                <w:ilvl w:val="0"/>
                <w:numId w:val="17"/>
              </w:numPr>
              <w:ind w:left="426"/>
              <w:jc w:val="both"/>
              <w:rPr>
                <w:rFonts w:ascii="Century Gothic" w:hAnsi="Century Gothic"/>
                <w:sz w:val="20"/>
                <w:szCs w:val="20"/>
              </w:rPr>
            </w:pPr>
            <w:r w:rsidRPr="00952681">
              <w:rPr>
                <w:rFonts w:ascii="Century Gothic" w:hAnsi="Century Gothic"/>
                <w:sz w:val="20"/>
                <w:szCs w:val="20"/>
              </w:rPr>
              <w:t xml:space="preserve">Concernant l’élaboration de la stratégie de communication du Programme, le recrutement d’un consultant s’étant révélé infructueux, la direction a opté pour une collaboration avec un Institut supérieur spécialisé en communication, lequel encadre une étudiante de Master II qui prépare la stratégie de communication du Programme pour son mémoire de fin d’études. Ainsi le plan de communication du Programme sera disponible courant </w:t>
            </w:r>
            <w:r w:rsidR="009005A2">
              <w:rPr>
                <w:rFonts w:ascii="Century Gothic" w:hAnsi="Century Gothic"/>
                <w:sz w:val="20"/>
                <w:szCs w:val="20"/>
              </w:rPr>
              <w:t>février</w:t>
            </w:r>
            <w:r w:rsidRPr="00952681">
              <w:rPr>
                <w:rFonts w:ascii="Century Gothic" w:hAnsi="Century Gothic"/>
                <w:sz w:val="20"/>
                <w:szCs w:val="20"/>
              </w:rPr>
              <w:t xml:space="preserve"> 2010.</w:t>
            </w:r>
          </w:p>
          <w:p w:rsidR="000169D7" w:rsidRPr="00952681" w:rsidRDefault="000169D7" w:rsidP="006247B1">
            <w:pPr>
              <w:pStyle w:val="Paragraphedeliste"/>
              <w:numPr>
                <w:ilvl w:val="0"/>
                <w:numId w:val="17"/>
              </w:numPr>
              <w:ind w:left="426"/>
              <w:jc w:val="both"/>
              <w:rPr>
                <w:rFonts w:ascii="Century Gothic" w:hAnsi="Century Gothic"/>
                <w:sz w:val="20"/>
                <w:szCs w:val="20"/>
              </w:rPr>
            </w:pPr>
            <w:r w:rsidRPr="00952681">
              <w:rPr>
                <w:rFonts w:ascii="Century Gothic" w:hAnsi="Century Gothic"/>
                <w:sz w:val="20"/>
                <w:szCs w:val="20"/>
              </w:rPr>
              <w:t xml:space="preserve">1 CIPE est installé en octobre à Manakara et quatre autres sont en cours de négociation avec des ONG ou les CCI. </w:t>
            </w:r>
          </w:p>
          <w:p w:rsidR="000169D7" w:rsidRPr="00952681" w:rsidRDefault="000169D7" w:rsidP="006247B1">
            <w:pPr>
              <w:pStyle w:val="Paragraphedeliste"/>
              <w:numPr>
                <w:ilvl w:val="0"/>
                <w:numId w:val="17"/>
              </w:numPr>
              <w:ind w:left="426"/>
              <w:jc w:val="both"/>
              <w:rPr>
                <w:rFonts w:ascii="Century Gothic" w:hAnsi="Century Gothic"/>
                <w:sz w:val="20"/>
                <w:szCs w:val="20"/>
              </w:rPr>
            </w:pPr>
            <w:r w:rsidRPr="00952681">
              <w:rPr>
                <w:rFonts w:ascii="Century Gothic" w:hAnsi="Century Gothic"/>
                <w:sz w:val="20"/>
                <w:szCs w:val="20"/>
              </w:rPr>
              <w:t>Des conventions ont été signées avec six radios et la d</w:t>
            </w:r>
            <w:r w:rsidRPr="00952681">
              <w:rPr>
                <w:rFonts w:ascii="Century Gothic" w:hAnsi="Century Gothic"/>
                <w:bCs/>
                <w:sz w:val="20"/>
                <w:szCs w:val="20"/>
              </w:rPr>
              <w:t xml:space="preserve">iffusion d’émission a démarré; </w:t>
            </w:r>
            <w:r w:rsidRPr="00952681">
              <w:rPr>
                <w:rFonts w:ascii="Century Gothic" w:hAnsi="Century Gothic"/>
                <w:sz w:val="20"/>
                <w:szCs w:val="20"/>
              </w:rPr>
              <w:t>le renforcement des capacités de diffusion des radios locales (équipements, fonctionnement) est en cours de réalisation.</w:t>
            </w:r>
          </w:p>
          <w:p w:rsidR="000169D7" w:rsidRPr="00952681" w:rsidRDefault="000169D7" w:rsidP="006247B1">
            <w:pPr>
              <w:pStyle w:val="Paragraphedeliste"/>
              <w:numPr>
                <w:ilvl w:val="0"/>
                <w:numId w:val="17"/>
              </w:numPr>
              <w:ind w:left="426"/>
              <w:jc w:val="both"/>
              <w:rPr>
                <w:rFonts w:ascii="Century Gothic" w:hAnsi="Century Gothic"/>
                <w:sz w:val="20"/>
                <w:szCs w:val="20"/>
              </w:rPr>
            </w:pPr>
            <w:r w:rsidRPr="00952681">
              <w:rPr>
                <w:rFonts w:ascii="Century Gothic" w:hAnsi="Century Gothic"/>
                <w:sz w:val="20"/>
                <w:szCs w:val="20"/>
              </w:rPr>
              <w:t>Le premier numéro du Bulletin bimestriel des MER  MIOITRA   est édité et est diffusé.</w:t>
            </w:r>
          </w:p>
          <w:p w:rsidR="000169D7" w:rsidRPr="00952681" w:rsidRDefault="000169D7" w:rsidP="006247B1">
            <w:pPr>
              <w:pStyle w:val="Paragraphedeliste"/>
              <w:numPr>
                <w:ilvl w:val="0"/>
                <w:numId w:val="17"/>
              </w:numPr>
              <w:ind w:left="426"/>
              <w:jc w:val="both"/>
              <w:rPr>
                <w:rFonts w:ascii="Century Gothic" w:hAnsi="Century Gothic"/>
                <w:sz w:val="20"/>
                <w:szCs w:val="20"/>
              </w:rPr>
            </w:pPr>
            <w:r w:rsidRPr="00952681">
              <w:rPr>
                <w:rFonts w:ascii="Century Gothic" w:hAnsi="Century Gothic"/>
                <w:sz w:val="20"/>
                <w:szCs w:val="20"/>
              </w:rPr>
              <w:t xml:space="preserve">le site du Programme </w:t>
            </w:r>
            <w:hyperlink r:id="rId8" w:history="1">
              <w:r w:rsidRPr="00952681">
                <w:rPr>
                  <w:rStyle w:val="Lienhypertexte"/>
                  <w:rFonts w:ascii="Century Gothic" w:hAnsi="Century Gothic"/>
                  <w:sz w:val="20"/>
                  <w:szCs w:val="20"/>
                </w:rPr>
                <w:t>www.prosperer.mg</w:t>
              </w:r>
            </w:hyperlink>
            <w:r w:rsidRPr="00952681">
              <w:rPr>
                <w:rFonts w:ascii="Century Gothic" w:hAnsi="Century Gothic"/>
                <w:sz w:val="20"/>
                <w:szCs w:val="20"/>
              </w:rPr>
              <w:t xml:space="preserve"> a été mis en ligne le 22 juin 2009. Il comprend 6 grandes rubriques (accueil, identification, vie du Programme, impact, communication et offres) et actuellement 83 articles.</w:t>
            </w:r>
          </w:p>
          <w:p w:rsidR="000169D7" w:rsidRPr="006169EC" w:rsidRDefault="000169D7" w:rsidP="000169D7">
            <w:pPr>
              <w:jc w:val="both"/>
              <w:rPr>
                <w:rFonts w:ascii="Century Gothic" w:hAnsi="Century Gothic"/>
                <w:b/>
                <w:sz w:val="20"/>
                <w:szCs w:val="20"/>
                <w:u w:val="single"/>
                <w:lang w:val="fr-FR"/>
              </w:rPr>
            </w:pPr>
            <w:r w:rsidRPr="006169EC">
              <w:rPr>
                <w:rFonts w:ascii="Century Gothic" w:hAnsi="Century Gothic"/>
                <w:b/>
                <w:sz w:val="20"/>
                <w:szCs w:val="20"/>
                <w:u w:val="single"/>
                <w:lang w:val="fr-FR"/>
              </w:rPr>
              <w:t>En termes de produits issus des activités</w:t>
            </w:r>
          </w:p>
          <w:p w:rsidR="000169D7" w:rsidRPr="000169D7" w:rsidRDefault="000169D7" w:rsidP="000169D7">
            <w:pPr>
              <w:rPr>
                <w:rFonts w:ascii="Century Gothic" w:hAnsi="Century Gothic"/>
                <w:sz w:val="20"/>
                <w:szCs w:val="20"/>
                <w:lang w:val="fr-FR"/>
              </w:rPr>
            </w:pPr>
          </w:p>
          <w:p w:rsidR="000169D7" w:rsidRPr="000169D7" w:rsidRDefault="000169D7" w:rsidP="000169D7">
            <w:pPr>
              <w:rPr>
                <w:rFonts w:ascii="Century Gothic" w:hAnsi="Century Gothic"/>
                <w:sz w:val="20"/>
                <w:szCs w:val="20"/>
                <w:lang w:val="fr-FR"/>
              </w:rPr>
            </w:pPr>
            <w:r w:rsidRPr="000169D7">
              <w:rPr>
                <w:rFonts w:ascii="Century Gothic" w:hAnsi="Century Gothic"/>
                <w:sz w:val="20"/>
                <w:szCs w:val="20"/>
                <w:lang w:val="fr-FR"/>
              </w:rPr>
              <w:t>Les Produits issus de la mise en œuvre de ces activités sont :</w:t>
            </w:r>
          </w:p>
          <w:p w:rsidR="000169D7" w:rsidRPr="00952681" w:rsidRDefault="000169D7" w:rsidP="006247B1">
            <w:pPr>
              <w:pStyle w:val="Paragraphedeliste"/>
              <w:numPr>
                <w:ilvl w:val="0"/>
                <w:numId w:val="18"/>
              </w:numPr>
              <w:spacing w:after="0" w:line="240" w:lineRule="auto"/>
              <w:ind w:left="714" w:hanging="357"/>
              <w:rPr>
                <w:rFonts w:ascii="Century Gothic" w:hAnsi="Century Gothic"/>
                <w:sz w:val="20"/>
                <w:szCs w:val="20"/>
              </w:rPr>
            </w:pPr>
            <w:r w:rsidRPr="00952681">
              <w:rPr>
                <w:rFonts w:ascii="Century Gothic" w:hAnsi="Century Gothic"/>
                <w:sz w:val="20"/>
                <w:szCs w:val="20"/>
              </w:rPr>
              <w:t xml:space="preserve">Taux de réalisation des objectifs physiques du Programme est de </w:t>
            </w:r>
            <w:r w:rsidR="00F11577">
              <w:rPr>
                <w:rFonts w:ascii="Century Gothic" w:hAnsi="Century Gothic"/>
                <w:sz w:val="20"/>
                <w:szCs w:val="20"/>
              </w:rPr>
              <w:t>57%</w:t>
            </w:r>
          </w:p>
          <w:p w:rsidR="000169D7" w:rsidRPr="00952681" w:rsidRDefault="000169D7" w:rsidP="006247B1">
            <w:pPr>
              <w:pStyle w:val="Paragraphedeliste"/>
              <w:numPr>
                <w:ilvl w:val="0"/>
                <w:numId w:val="18"/>
              </w:numPr>
              <w:spacing w:after="0" w:line="240" w:lineRule="auto"/>
              <w:ind w:left="714" w:hanging="357"/>
              <w:rPr>
                <w:rFonts w:ascii="Century Gothic" w:hAnsi="Century Gothic"/>
                <w:sz w:val="20"/>
                <w:szCs w:val="20"/>
              </w:rPr>
            </w:pPr>
            <w:r w:rsidRPr="00952681">
              <w:rPr>
                <w:rFonts w:ascii="Century Gothic" w:hAnsi="Century Gothic"/>
                <w:sz w:val="20"/>
                <w:szCs w:val="20"/>
              </w:rPr>
              <w:t>PTBA</w:t>
            </w:r>
            <w:r w:rsidR="00F11577">
              <w:rPr>
                <w:rFonts w:ascii="Century Gothic" w:hAnsi="Century Gothic"/>
                <w:sz w:val="20"/>
                <w:szCs w:val="20"/>
              </w:rPr>
              <w:t xml:space="preserve"> 2010</w:t>
            </w:r>
            <w:r w:rsidRPr="00952681">
              <w:rPr>
                <w:rFonts w:ascii="Century Gothic" w:hAnsi="Century Gothic"/>
                <w:sz w:val="20"/>
                <w:szCs w:val="20"/>
              </w:rPr>
              <w:t xml:space="preserve"> </w:t>
            </w:r>
            <w:r w:rsidR="00F11577">
              <w:rPr>
                <w:rFonts w:ascii="Century Gothic" w:hAnsi="Century Gothic"/>
                <w:sz w:val="20"/>
                <w:szCs w:val="20"/>
              </w:rPr>
              <w:t xml:space="preserve">est </w:t>
            </w:r>
            <w:r w:rsidRPr="00952681">
              <w:rPr>
                <w:rFonts w:ascii="Century Gothic" w:hAnsi="Century Gothic"/>
                <w:sz w:val="20"/>
                <w:szCs w:val="20"/>
              </w:rPr>
              <w:t>élaboré et remis dans le délai au FIDA</w:t>
            </w:r>
          </w:p>
          <w:p w:rsidR="000169D7" w:rsidRPr="008A6CCD" w:rsidRDefault="00F11577" w:rsidP="006247B1">
            <w:pPr>
              <w:pStyle w:val="Paragraphedeliste"/>
              <w:numPr>
                <w:ilvl w:val="0"/>
                <w:numId w:val="18"/>
              </w:numPr>
              <w:spacing w:after="0" w:line="240" w:lineRule="auto"/>
              <w:ind w:left="714" w:hanging="357"/>
              <w:rPr>
                <w:rFonts w:ascii="Century Gothic" w:hAnsi="Century Gothic"/>
                <w:sz w:val="20"/>
                <w:szCs w:val="20"/>
              </w:rPr>
            </w:pPr>
            <w:r w:rsidRPr="008A6CCD">
              <w:rPr>
                <w:rFonts w:ascii="Century Gothic" w:hAnsi="Century Gothic"/>
                <w:sz w:val="20"/>
                <w:szCs w:val="20"/>
              </w:rPr>
              <w:t>Cinq</w:t>
            </w:r>
            <w:r w:rsidR="000169D7" w:rsidRPr="008A6CCD">
              <w:rPr>
                <w:rFonts w:ascii="Century Gothic" w:hAnsi="Century Gothic"/>
                <w:sz w:val="20"/>
                <w:szCs w:val="20"/>
              </w:rPr>
              <w:t xml:space="preserve"> radios locales appuyé</w:t>
            </w:r>
            <w:r w:rsidR="00DB081F">
              <w:rPr>
                <w:rFonts w:ascii="Century Gothic" w:hAnsi="Century Gothic"/>
                <w:sz w:val="20"/>
                <w:szCs w:val="20"/>
              </w:rPr>
              <w:t>e</w:t>
            </w:r>
            <w:r w:rsidR="000169D7" w:rsidRPr="008A6CCD">
              <w:rPr>
                <w:rFonts w:ascii="Century Gothic" w:hAnsi="Century Gothic"/>
                <w:sz w:val="20"/>
                <w:szCs w:val="20"/>
              </w:rPr>
              <w:t>s par le Programme</w:t>
            </w:r>
          </w:p>
          <w:p w:rsidR="000169D7" w:rsidRPr="008A6CCD" w:rsidRDefault="009D1907" w:rsidP="006247B1">
            <w:pPr>
              <w:pStyle w:val="Paragraphedeliste"/>
              <w:numPr>
                <w:ilvl w:val="0"/>
                <w:numId w:val="18"/>
              </w:numPr>
              <w:spacing w:after="0" w:line="240" w:lineRule="auto"/>
              <w:ind w:left="714" w:hanging="357"/>
              <w:rPr>
                <w:rFonts w:ascii="Century Gothic" w:hAnsi="Century Gothic"/>
                <w:sz w:val="20"/>
                <w:szCs w:val="20"/>
              </w:rPr>
            </w:pPr>
            <w:r>
              <w:rPr>
                <w:rFonts w:ascii="Century Gothic" w:hAnsi="Century Gothic"/>
                <w:sz w:val="20"/>
                <w:szCs w:val="20"/>
              </w:rPr>
              <w:t xml:space="preserve">Plus de 71 </w:t>
            </w:r>
            <w:r w:rsidR="000169D7" w:rsidRPr="008A6CCD">
              <w:rPr>
                <w:rFonts w:ascii="Century Gothic" w:hAnsi="Century Gothic"/>
                <w:sz w:val="20"/>
                <w:szCs w:val="20"/>
              </w:rPr>
              <w:t>émissions sur le programme réalisées</w:t>
            </w:r>
          </w:p>
          <w:p w:rsidR="000169D7" w:rsidRPr="008A6CCD" w:rsidRDefault="008A6CCD" w:rsidP="006247B1">
            <w:pPr>
              <w:pStyle w:val="Paragraphedeliste"/>
              <w:numPr>
                <w:ilvl w:val="0"/>
                <w:numId w:val="18"/>
              </w:numPr>
              <w:spacing w:after="0" w:line="240" w:lineRule="auto"/>
              <w:ind w:left="714" w:hanging="357"/>
              <w:rPr>
                <w:rFonts w:ascii="Century Gothic" w:hAnsi="Century Gothic"/>
                <w:sz w:val="20"/>
                <w:szCs w:val="20"/>
              </w:rPr>
            </w:pPr>
            <w:r w:rsidRPr="008A6CCD">
              <w:rPr>
                <w:rFonts w:ascii="Century Gothic" w:hAnsi="Century Gothic"/>
                <w:sz w:val="20"/>
                <w:szCs w:val="20"/>
              </w:rPr>
              <w:t xml:space="preserve">6 000 </w:t>
            </w:r>
            <w:r w:rsidR="000169D7" w:rsidRPr="008A6CCD">
              <w:rPr>
                <w:rFonts w:ascii="Century Gothic" w:hAnsi="Century Gothic"/>
                <w:sz w:val="20"/>
                <w:szCs w:val="20"/>
              </w:rPr>
              <w:t>Bulletin</w:t>
            </w:r>
            <w:r w:rsidR="003A48F3">
              <w:rPr>
                <w:rFonts w:ascii="Century Gothic" w:hAnsi="Century Gothic"/>
                <w:sz w:val="20"/>
                <w:szCs w:val="20"/>
              </w:rPr>
              <w:t>s</w:t>
            </w:r>
            <w:r w:rsidR="000169D7" w:rsidRPr="008A6CCD">
              <w:rPr>
                <w:rFonts w:ascii="Century Gothic" w:hAnsi="Century Gothic"/>
                <w:sz w:val="20"/>
                <w:szCs w:val="20"/>
              </w:rPr>
              <w:t xml:space="preserve"> des MER diffusés</w:t>
            </w:r>
          </w:p>
          <w:p w:rsidR="000169D7" w:rsidRPr="008A6CCD" w:rsidRDefault="008A6CCD" w:rsidP="006247B1">
            <w:pPr>
              <w:pStyle w:val="Paragraphedeliste"/>
              <w:numPr>
                <w:ilvl w:val="0"/>
                <w:numId w:val="18"/>
              </w:numPr>
              <w:spacing w:after="0" w:line="240" w:lineRule="auto"/>
              <w:ind w:left="714" w:hanging="357"/>
              <w:rPr>
                <w:rFonts w:ascii="Century Gothic" w:hAnsi="Century Gothic"/>
                <w:sz w:val="20"/>
                <w:szCs w:val="20"/>
              </w:rPr>
            </w:pPr>
            <w:r w:rsidRPr="008A6CCD">
              <w:rPr>
                <w:rFonts w:ascii="Century Gothic" w:hAnsi="Century Gothic"/>
                <w:sz w:val="20"/>
                <w:szCs w:val="20"/>
              </w:rPr>
              <w:t xml:space="preserve">1 138 </w:t>
            </w:r>
            <w:r w:rsidR="000169D7" w:rsidRPr="008A6CCD">
              <w:rPr>
                <w:rFonts w:ascii="Century Gothic" w:hAnsi="Century Gothic"/>
                <w:sz w:val="20"/>
                <w:szCs w:val="20"/>
              </w:rPr>
              <w:t>visiteurs de CIPE enregistré</w:t>
            </w:r>
          </w:p>
          <w:p w:rsidR="000169D7" w:rsidRPr="008A6CCD" w:rsidRDefault="008A6CCD" w:rsidP="006247B1">
            <w:pPr>
              <w:pStyle w:val="Paragraphedeliste"/>
              <w:numPr>
                <w:ilvl w:val="0"/>
                <w:numId w:val="18"/>
              </w:numPr>
              <w:spacing w:after="0" w:line="240" w:lineRule="auto"/>
              <w:ind w:left="714" w:hanging="357"/>
              <w:rPr>
                <w:rFonts w:ascii="Century Gothic" w:hAnsi="Century Gothic"/>
                <w:sz w:val="20"/>
                <w:szCs w:val="20"/>
              </w:rPr>
            </w:pPr>
            <w:r>
              <w:rPr>
                <w:rFonts w:ascii="Century Gothic" w:hAnsi="Century Gothic"/>
                <w:sz w:val="20"/>
                <w:szCs w:val="20"/>
              </w:rPr>
              <w:t>2 643</w:t>
            </w:r>
            <w:r w:rsidR="000169D7" w:rsidRPr="008A6CCD">
              <w:rPr>
                <w:rFonts w:ascii="Century Gothic" w:hAnsi="Century Gothic"/>
                <w:sz w:val="20"/>
                <w:szCs w:val="20"/>
              </w:rPr>
              <w:t xml:space="preserve"> visiteurs du site web enregistrés</w:t>
            </w:r>
          </w:p>
          <w:p w:rsidR="00F664FB" w:rsidRPr="002401CB" w:rsidRDefault="00F664FB" w:rsidP="00F664FB">
            <w:pPr>
              <w:tabs>
                <w:tab w:val="left" w:pos="720"/>
              </w:tabs>
              <w:suppressAutoHyphens/>
              <w:snapToGrid w:val="0"/>
              <w:ind w:left="1776"/>
              <w:jc w:val="both"/>
              <w:rPr>
                <w:sz w:val="22"/>
                <w:szCs w:val="22"/>
                <w:lang w:val="fr-FR"/>
              </w:rPr>
            </w:pPr>
          </w:p>
        </w:tc>
      </w:tr>
      <w:tr w:rsidR="00BD39A3" w:rsidRPr="0042574B" w:rsidTr="00821D27">
        <w:tc>
          <w:tcPr>
            <w:tcW w:w="10368" w:type="dxa"/>
            <w:tcBorders>
              <w:top w:val="dotted" w:sz="4" w:space="0" w:color="auto"/>
              <w:left w:val="single" w:sz="12" w:space="0" w:color="auto"/>
              <w:bottom w:val="single" w:sz="12" w:space="0" w:color="auto"/>
              <w:right w:val="single" w:sz="12" w:space="0" w:color="auto"/>
            </w:tcBorders>
          </w:tcPr>
          <w:p w:rsidR="00BD39A3" w:rsidRPr="00DD2943" w:rsidRDefault="00BD39A3" w:rsidP="00C17AA5">
            <w:pPr>
              <w:jc w:val="both"/>
              <w:rPr>
                <w:b/>
                <w:sz w:val="22"/>
                <w:szCs w:val="22"/>
                <w:lang w:val="fr-FR"/>
              </w:rPr>
            </w:pPr>
          </w:p>
        </w:tc>
      </w:tr>
    </w:tbl>
    <w:p w:rsidR="00903D6D" w:rsidRPr="0007403F" w:rsidRDefault="00903D6D" w:rsidP="005D181D">
      <w:pPr>
        <w:jc w:val="both"/>
        <w:rPr>
          <w:rFonts w:ascii="Arial" w:hAnsi="Arial" w:cs="Arial"/>
          <w:bCs/>
          <w:sz w:val="22"/>
          <w:szCs w:val="22"/>
          <w:lang w:val="fr-FR"/>
        </w:rPr>
      </w:pPr>
    </w:p>
    <w:tbl>
      <w:tblPr>
        <w:tblW w:w="0" w:type="auto"/>
        <w:tblBorders>
          <w:insideH w:val="dotted" w:sz="4" w:space="0" w:color="auto"/>
          <w:insideV w:val="dotted" w:sz="4" w:space="0" w:color="auto"/>
        </w:tblBorders>
        <w:tblLook w:val="01E0"/>
      </w:tblPr>
      <w:tblGrid>
        <w:gridCol w:w="10368"/>
      </w:tblGrid>
      <w:tr w:rsidR="00CF62A4" w:rsidRPr="00C25655" w:rsidTr="006E1ABB">
        <w:trPr>
          <w:trHeight w:val="433"/>
        </w:trPr>
        <w:tc>
          <w:tcPr>
            <w:tcW w:w="10368" w:type="dxa"/>
            <w:tcBorders>
              <w:top w:val="single" w:sz="12" w:space="0" w:color="auto"/>
              <w:left w:val="single" w:sz="12" w:space="0" w:color="auto"/>
              <w:bottom w:val="dotted" w:sz="4" w:space="0" w:color="auto"/>
              <w:right w:val="single" w:sz="12" w:space="0" w:color="auto"/>
            </w:tcBorders>
            <w:shd w:val="clear" w:color="auto" w:fill="000000"/>
            <w:vAlign w:val="center"/>
          </w:tcPr>
          <w:p w:rsidR="00CF62A4" w:rsidRPr="0042574B" w:rsidRDefault="0048210B" w:rsidP="00445006">
            <w:pPr>
              <w:rPr>
                <w:rFonts w:ascii="Arial" w:hAnsi="Arial" w:cs="Arial"/>
                <w:b/>
                <w:sz w:val="22"/>
                <w:szCs w:val="22"/>
                <w:lang w:val="fr-FR"/>
              </w:rPr>
            </w:pPr>
            <w:r w:rsidRPr="0042574B">
              <w:rPr>
                <w:rFonts w:ascii="Arial" w:hAnsi="Arial" w:cs="Arial"/>
                <w:b/>
                <w:sz w:val="22"/>
                <w:szCs w:val="22"/>
                <w:lang w:val="fr-FR"/>
              </w:rPr>
              <w:t>Exécution prévue pour le semestre prochain (PTBA</w:t>
            </w:r>
            <w:r w:rsidR="00445006">
              <w:rPr>
                <w:rFonts w:ascii="Arial" w:hAnsi="Arial" w:cs="Arial"/>
                <w:b/>
                <w:sz w:val="22"/>
                <w:szCs w:val="22"/>
                <w:lang w:val="fr-FR"/>
              </w:rPr>
              <w:t xml:space="preserve"> 2010</w:t>
            </w:r>
            <w:r w:rsidRPr="0042574B">
              <w:rPr>
                <w:rFonts w:ascii="Arial" w:hAnsi="Arial" w:cs="Arial"/>
                <w:b/>
                <w:sz w:val="22"/>
                <w:szCs w:val="22"/>
                <w:lang w:val="fr-FR"/>
              </w:rPr>
              <w:t>)</w:t>
            </w:r>
            <w:r>
              <w:rPr>
                <w:rFonts w:ascii="Arial" w:hAnsi="Arial" w:cs="Arial"/>
                <w:b/>
                <w:sz w:val="22"/>
                <w:szCs w:val="22"/>
                <w:lang w:val="fr-FR"/>
              </w:rPr>
              <w:t xml:space="preserve"> pour le Programme</w:t>
            </w:r>
          </w:p>
        </w:tc>
      </w:tr>
      <w:tr w:rsidR="00CF62A4" w:rsidRPr="00C25655" w:rsidTr="006E1ABB">
        <w:tc>
          <w:tcPr>
            <w:tcW w:w="10368" w:type="dxa"/>
            <w:tcBorders>
              <w:top w:val="dotted" w:sz="4" w:space="0" w:color="auto"/>
              <w:left w:val="single" w:sz="12" w:space="0" w:color="auto"/>
              <w:bottom w:val="dotted" w:sz="4" w:space="0" w:color="auto"/>
              <w:right w:val="single" w:sz="12" w:space="0" w:color="auto"/>
            </w:tcBorders>
          </w:tcPr>
          <w:p w:rsidR="00CF62A4" w:rsidRPr="00A90642" w:rsidRDefault="00CF62A4" w:rsidP="006E1ABB">
            <w:pPr>
              <w:jc w:val="both"/>
              <w:rPr>
                <w:sz w:val="22"/>
                <w:szCs w:val="22"/>
                <w:lang w:val="fr-FR"/>
              </w:rPr>
            </w:pPr>
            <w:r w:rsidRPr="00A90642">
              <w:rPr>
                <w:b/>
                <w:bCs/>
                <w:iCs/>
                <w:sz w:val="22"/>
                <w:szCs w:val="22"/>
                <w:lang w:val="fr-FR"/>
              </w:rPr>
              <w:t>C</w:t>
            </w:r>
            <w:r w:rsidR="00A90642" w:rsidRPr="00A90642">
              <w:rPr>
                <w:b/>
                <w:bCs/>
                <w:iCs/>
                <w:sz w:val="22"/>
                <w:szCs w:val="22"/>
                <w:lang w:val="fr-FR"/>
              </w:rPr>
              <w:t>OMPOSANTE</w:t>
            </w:r>
            <w:r w:rsidRPr="00A90642">
              <w:rPr>
                <w:b/>
                <w:bCs/>
                <w:iCs/>
                <w:sz w:val="22"/>
                <w:szCs w:val="22"/>
                <w:lang w:val="fr-FR"/>
              </w:rPr>
              <w:t xml:space="preserve"> 1 </w:t>
            </w:r>
            <w:r w:rsidRPr="00A90642">
              <w:rPr>
                <w:iCs/>
                <w:sz w:val="22"/>
                <w:szCs w:val="22"/>
                <w:lang w:val="fr-FR"/>
              </w:rPr>
              <w:t xml:space="preserve">- </w:t>
            </w:r>
            <w:r w:rsidRPr="00A90642">
              <w:rPr>
                <w:b/>
                <w:bCs/>
                <w:sz w:val="22"/>
                <w:szCs w:val="22"/>
                <w:lang w:val="fr-FR"/>
              </w:rPr>
              <w:t>IDENTIFICATION ET MOBILISATION DES MER, DES PER ET STRUCTURATION DES INTERPROFESSIONS</w:t>
            </w:r>
            <w:r w:rsidRPr="00A90642">
              <w:rPr>
                <w:sz w:val="22"/>
                <w:szCs w:val="22"/>
                <w:lang w:val="fr-FR"/>
              </w:rPr>
              <w:t xml:space="preserve"> </w:t>
            </w:r>
          </w:p>
          <w:p w:rsidR="00CF62A4" w:rsidRPr="0031325D" w:rsidRDefault="00CF62A4" w:rsidP="006E1ABB">
            <w:pPr>
              <w:jc w:val="both"/>
              <w:rPr>
                <w:i/>
                <w:sz w:val="22"/>
                <w:szCs w:val="22"/>
                <w:lang w:val="fr-FR"/>
              </w:rPr>
            </w:pPr>
          </w:p>
          <w:p w:rsidR="00CF62A4" w:rsidRDefault="00CF62A4" w:rsidP="006E1ABB">
            <w:pPr>
              <w:jc w:val="both"/>
              <w:rPr>
                <w:b/>
                <w:i/>
                <w:sz w:val="22"/>
                <w:szCs w:val="22"/>
                <w:lang w:val="fr-FR"/>
              </w:rPr>
            </w:pPr>
            <w:r w:rsidRPr="00445006">
              <w:rPr>
                <w:b/>
                <w:bCs/>
                <w:i/>
                <w:sz w:val="22"/>
                <w:szCs w:val="22"/>
                <w:u w:val="single"/>
                <w:lang w:val="fr-FR"/>
              </w:rPr>
              <w:t xml:space="preserve">Sous composante </w:t>
            </w:r>
            <w:r w:rsidR="00A90642">
              <w:rPr>
                <w:b/>
                <w:bCs/>
                <w:i/>
                <w:sz w:val="22"/>
                <w:szCs w:val="22"/>
                <w:u w:val="single"/>
                <w:lang w:val="fr-FR"/>
              </w:rPr>
              <w:t>1</w:t>
            </w:r>
            <w:r w:rsidRPr="00445006">
              <w:rPr>
                <w:b/>
                <w:bCs/>
                <w:i/>
                <w:sz w:val="22"/>
                <w:szCs w:val="22"/>
                <w:u w:val="single"/>
                <w:lang w:val="fr-FR"/>
              </w:rPr>
              <w:t>1</w:t>
            </w:r>
            <w:r w:rsidRPr="00445006">
              <w:rPr>
                <w:b/>
                <w:i/>
                <w:sz w:val="22"/>
                <w:szCs w:val="22"/>
                <w:u w:val="single"/>
                <w:lang w:val="fr-FR"/>
              </w:rPr>
              <w:t> </w:t>
            </w:r>
            <w:r w:rsidRPr="00445006">
              <w:rPr>
                <w:b/>
                <w:i/>
                <w:sz w:val="22"/>
                <w:szCs w:val="22"/>
                <w:lang w:val="fr-FR"/>
              </w:rPr>
              <w:t>: Inventaire régional- Validation des MER et des PER- Dispositif d’appui local</w:t>
            </w:r>
            <w:r w:rsidR="00445006">
              <w:rPr>
                <w:b/>
                <w:i/>
                <w:sz w:val="22"/>
                <w:szCs w:val="22"/>
                <w:lang w:val="fr-FR"/>
              </w:rPr>
              <w:t xml:space="preserve"> </w:t>
            </w:r>
          </w:p>
          <w:p w:rsidR="00445006" w:rsidRPr="00445006" w:rsidRDefault="00A90642" w:rsidP="00A90642">
            <w:pPr>
              <w:tabs>
                <w:tab w:val="left" w:pos="1275"/>
              </w:tabs>
              <w:jc w:val="both"/>
              <w:rPr>
                <w:b/>
                <w:i/>
                <w:sz w:val="22"/>
                <w:szCs w:val="22"/>
                <w:lang w:val="fr-FR"/>
              </w:rPr>
            </w:pPr>
            <w:r>
              <w:rPr>
                <w:b/>
                <w:i/>
                <w:sz w:val="22"/>
                <w:szCs w:val="22"/>
                <w:lang w:val="fr-FR"/>
              </w:rPr>
              <w:tab/>
            </w:r>
          </w:p>
          <w:p w:rsidR="00445006" w:rsidRDefault="00445006" w:rsidP="006247B1">
            <w:pPr>
              <w:numPr>
                <w:ilvl w:val="0"/>
                <w:numId w:val="5"/>
              </w:numPr>
              <w:tabs>
                <w:tab w:val="clear" w:pos="720"/>
              </w:tabs>
              <w:ind w:left="567" w:right="32" w:hanging="567"/>
              <w:jc w:val="both"/>
              <w:rPr>
                <w:rFonts w:ascii="Century Gothic" w:hAnsi="Century Gothic"/>
                <w:sz w:val="20"/>
                <w:szCs w:val="20"/>
                <w:lang w:val="fr-FR"/>
              </w:rPr>
            </w:pPr>
            <w:r>
              <w:rPr>
                <w:rFonts w:ascii="Century Gothic" w:hAnsi="Century Gothic"/>
                <w:sz w:val="20"/>
                <w:szCs w:val="20"/>
                <w:lang w:val="fr-FR"/>
              </w:rPr>
              <w:t>L</w:t>
            </w:r>
            <w:r w:rsidRPr="00445006">
              <w:rPr>
                <w:rFonts w:ascii="Century Gothic" w:hAnsi="Century Gothic"/>
                <w:sz w:val="20"/>
                <w:szCs w:val="20"/>
                <w:lang w:val="fr-FR"/>
              </w:rPr>
              <w:t xml:space="preserve">a mise en œuvre des plans de développement de filières ; </w:t>
            </w:r>
          </w:p>
          <w:p w:rsidR="00445006" w:rsidRPr="00445006" w:rsidRDefault="00445006" w:rsidP="00445006">
            <w:pPr>
              <w:ind w:left="567" w:right="32"/>
              <w:jc w:val="both"/>
              <w:rPr>
                <w:rFonts w:ascii="Century Gothic" w:hAnsi="Century Gothic"/>
                <w:sz w:val="20"/>
                <w:szCs w:val="20"/>
                <w:lang w:val="fr-FR"/>
              </w:rPr>
            </w:pPr>
          </w:p>
          <w:p w:rsidR="00445006" w:rsidRDefault="00445006" w:rsidP="006247B1">
            <w:pPr>
              <w:numPr>
                <w:ilvl w:val="0"/>
                <w:numId w:val="5"/>
              </w:numPr>
              <w:tabs>
                <w:tab w:val="clear" w:pos="720"/>
              </w:tabs>
              <w:ind w:left="567" w:right="32" w:hanging="567"/>
              <w:jc w:val="both"/>
              <w:rPr>
                <w:rFonts w:ascii="Century Gothic" w:hAnsi="Century Gothic"/>
                <w:sz w:val="20"/>
                <w:szCs w:val="20"/>
                <w:lang w:val="fr-FR"/>
              </w:rPr>
            </w:pPr>
            <w:r>
              <w:rPr>
                <w:rFonts w:ascii="Century Gothic" w:hAnsi="Century Gothic"/>
                <w:sz w:val="20"/>
                <w:szCs w:val="20"/>
                <w:lang w:val="fr-FR"/>
              </w:rPr>
              <w:t>L</w:t>
            </w:r>
            <w:r w:rsidRPr="00445006">
              <w:rPr>
                <w:rFonts w:ascii="Century Gothic" w:hAnsi="Century Gothic"/>
                <w:sz w:val="20"/>
                <w:szCs w:val="20"/>
                <w:lang w:val="fr-FR"/>
              </w:rPr>
              <w:t>’opérationnalisation et le renforcement des Ivo Fanoitra/IF au niveau des 1</w:t>
            </w:r>
            <w:r>
              <w:rPr>
                <w:rFonts w:ascii="Century Gothic" w:hAnsi="Century Gothic"/>
                <w:sz w:val="20"/>
                <w:szCs w:val="20"/>
                <w:lang w:val="fr-FR"/>
              </w:rPr>
              <w:t>9 districts cibles du Programme.</w:t>
            </w:r>
          </w:p>
          <w:p w:rsidR="00445006" w:rsidRDefault="00445006" w:rsidP="00445006">
            <w:pPr>
              <w:pStyle w:val="Titre3"/>
              <w:numPr>
                <w:ilvl w:val="0"/>
                <w:numId w:val="0"/>
              </w:numPr>
              <w:rPr>
                <w:rFonts w:ascii="Century Gothic" w:hAnsi="Century Gothic"/>
                <w:i w:val="0"/>
                <w:sz w:val="20"/>
                <w:szCs w:val="20"/>
                <w:lang w:eastAsia="en-GB"/>
              </w:rPr>
            </w:pPr>
          </w:p>
          <w:p w:rsidR="00445006" w:rsidRPr="00445006" w:rsidRDefault="00445006" w:rsidP="00445006">
            <w:pPr>
              <w:pStyle w:val="Titre3"/>
              <w:numPr>
                <w:ilvl w:val="0"/>
                <w:numId w:val="0"/>
              </w:numPr>
              <w:rPr>
                <w:b/>
                <w:iCs/>
                <w:szCs w:val="22"/>
              </w:rPr>
            </w:pPr>
            <w:r w:rsidRPr="00445006">
              <w:rPr>
                <w:b/>
                <w:bCs/>
                <w:iCs/>
                <w:szCs w:val="22"/>
              </w:rPr>
              <w:t xml:space="preserve"> </w:t>
            </w:r>
            <w:r w:rsidRPr="00445006">
              <w:rPr>
                <w:b/>
                <w:bCs/>
                <w:iCs/>
                <w:szCs w:val="22"/>
                <w:u w:val="single"/>
              </w:rPr>
              <w:t xml:space="preserve">Sous composante </w:t>
            </w:r>
            <w:r w:rsidR="00A90642">
              <w:rPr>
                <w:b/>
                <w:bCs/>
                <w:iCs/>
                <w:szCs w:val="22"/>
                <w:u w:val="single"/>
              </w:rPr>
              <w:t>1</w:t>
            </w:r>
            <w:r w:rsidRPr="00445006">
              <w:rPr>
                <w:b/>
                <w:bCs/>
                <w:iCs/>
                <w:szCs w:val="22"/>
                <w:u w:val="single"/>
              </w:rPr>
              <w:t>2</w:t>
            </w:r>
            <w:r w:rsidRPr="00445006">
              <w:rPr>
                <w:b/>
                <w:iCs/>
                <w:szCs w:val="22"/>
              </w:rPr>
              <w:t> : Renforcement des structures professionnelles et de l’interface Public-Privé</w:t>
            </w:r>
          </w:p>
          <w:p w:rsidR="00445006" w:rsidRPr="00445006" w:rsidRDefault="00445006" w:rsidP="00445006">
            <w:pPr>
              <w:ind w:right="32"/>
              <w:jc w:val="both"/>
              <w:rPr>
                <w:rFonts w:ascii="Century Gothic" w:hAnsi="Century Gothic"/>
                <w:sz w:val="20"/>
                <w:szCs w:val="20"/>
                <w:lang w:val="fr-FR"/>
              </w:rPr>
            </w:pPr>
          </w:p>
          <w:p w:rsidR="00445006" w:rsidRPr="00A90642" w:rsidRDefault="00A90642" w:rsidP="006247B1">
            <w:pPr>
              <w:numPr>
                <w:ilvl w:val="0"/>
                <w:numId w:val="5"/>
              </w:numPr>
              <w:tabs>
                <w:tab w:val="clear" w:pos="720"/>
              </w:tabs>
              <w:ind w:left="567" w:right="32" w:hanging="567"/>
              <w:jc w:val="both"/>
              <w:rPr>
                <w:sz w:val="22"/>
                <w:szCs w:val="22"/>
                <w:lang w:val="fr-FR"/>
              </w:rPr>
            </w:pPr>
            <w:r>
              <w:rPr>
                <w:rFonts w:ascii="Century Gothic" w:hAnsi="Century Gothic"/>
                <w:sz w:val="20"/>
                <w:szCs w:val="20"/>
                <w:lang w:val="fr-FR"/>
              </w:rPr>
              <w:t>L</w:t>
            </w:r>
            <w:r w:rsidR="00445006" w:rsidRPr="00A90642">
              <w:rPr>
                <w:rFonts w:ascii="Century Gothic" w:hAnsi="Century Gothic"/>
                <w:sz w:val="20"/>
                <w:szCs w:val="20"/>
                <w:lang w:val="fr-FR"/>
              </w:rPr>
              <w:t>e renforcement des capacités opérationnelles des CCI, DRDE et DRDR ; et</w:t>
            </w:r>
            <w:r w:rsidR="00445006" w:rsidRPr="00445006">
              <w:rPr>
                <w:color w:val="000000"/>
                <w:lang w:val="fr-FR"/>
              </w:rPr>
              <w:t xml:space="preserve"> </w:t>
            </w:r>
          </w:p>
          <w:p w:rsidR="00A90642" w:rsidRPr="00445006" w:rsidRDefault="00A90642" w:rsidP="00A90642">
            <w:pPr>
              <w:ind w:left="567" w:right="32"/>
              <w:jc w:val="both"/>
              <w:rPr>
                <w:sz w:val="22"/>
                <w:szCs w:val="22"/>
                <w:lang w:val="fr-FR"/>
              </w:rPr>
            </w:pPr>
          </w:p>
          <w:p w:rsidR="00CF62A4" w:rsidRPr="00A90642" w:rsidRDefault="00A90642" w:rsidP="006247B1">
            <w:pPr>
              <w:numPr>
                <w:ilvl w:val="0"/>
                <w:numId w:val="5"/>
              </w:numPr>
              <w:tabs>
                <w:tab w:val="clear" w:pos="720"/>
              </w:tabs>
              <w:ind w:left="567" w:right="32" w:hanging="567"/>
              <w:jc w:val="both"/>
              <w:rPr>
                <w:sz w:val="22"/>
                <w:szCs w:val="22"/>
                <w:lang w:val="fr-FR"/>
              </w:rPr>
            </w:pPr>
            <w:r>
              <w:rPr>
                <w:rFonts w:ascii="Century Gothic" w:hAnsi="Century Gothic"/>
                <w:sz w:val="20"/>
                <w:szCs w:val="20"/>
                <w:lang w:val="fr-FR"/>
              </w:rPr>
              <w:t>L</w:t>
            </w:r>
            <w:r w:rsidR="00445006" w:rsidRPr="00A90642">
              <w:rPr>
                <w:rFonts w:ascii="Century Gothic" w:hAnsi="Century Gothic"/>
                <w:sz w:val="20"/>
                <w:szCs w:val="20"/>
                <w:lang w:val="fr-FR"/>
              </w:rPr>
              <w:t>e renforcement de capacité des associations, groupements de base (AGB) et des organisations professionnelles (OP)</w:t>
            </w:r>
            <w:r>
              <w:rPr>
                <w:rFonts w:ascii="Century Gothic" w:hAnsi="Century Gothic"/>
                <w:sz w:val="20"/>
                <w:szCs w:val="20"/>
                <w:lang w:val="fr-FR"/>
              </w:rPr>
              <w:t>.</w:t>
            </w:r>
          </w:p>
          <w:p w:rsidR="00A90642" w:rsidRPr="00445006" w:rsidRDefault="00A90642" w:rsidP="00A90642">
            <w:pPr>
              <w:ind w:right="32"/>
              <w:jc w:val="both"/>
              <w:rPr>
                <w:sz w:val="22"/>
                <w:szCs w:val="22"/>
                <w:lang w:val="fr-FR"/>
              </w:rPr>
            </w:pPr>
          </w:p>
          <w:p w:rsidR="00CF62A4" w:rsidRPr="00A90642" w:rsidRDefault="00CF62A4" w:rsidP="00A90642">
            <w:pPr>
              <w:pStyle w:val="Titre3"/>
              <w:numPr>
                <w:ilvl w:val="0"/>
                <w:numId w:val="0"/>
              </w:numPr>
              <w:rPr>
                <w:b/>
                <w:i w:val="0"/>
                <w:szCs w:val="22"/>
              </w:rPr>
            </w:pPr>
            <w:r w:rsidRPr="00A90642">
              <w:rPr>
                <w:b/>
                <w:bCs/>
                <w:i w:val="0"/>
                <w:szCs w:val="22"/>
              </w:rPr>
              <w:t>C</w:t>
            </w:r>
            <w:r w:rsidR="00A90642" w:rsidRPr="00A90642">
              <w:rPr>
                <w:b/>
                <w:bCs/>
                <w:i w:val="0"/>
                <w:szCs w:val="22"/>
              </w:rPr>
              <w:t xml:space="preserve">OMPOSANTE </w:t>
            </w:r>
            <w:r w:rsidRPr="00A90642">
              <w:rPr>
                <w:b/>
                <w:bCs/>
                <w:i w:val="0"/>
                <w:szCs w:val="22"/>
              </w:rPr>
              <w:t xml:space="preserve"> 2 - </w:t>
            </w:r>
            <w:r w:rsidRPr="00A90642">
              <w:rPr>
                <w:b/>
                <w:i w:val="0"/>
                <w:szCs w:val="22"/>
              </w:rPr>
              <w:t>SERVICES D’APPUI AUX MICRO-ENTREPRISES RURALES ET FORMATION PROFESSIONNELLE</w:t>
            </w:r>
          </w:p>
          <w:p w:rsidR="00CF62A4" w:rsidRPr="0031325D" w:rsidRDefault="00CF62A4" w:rsidP="006E1ABB">
            <w:pPr>
              <w:rPr>
                <w:sz w:val="22"/>
                <w:szCs w:val="22"/>
                <w:lang w:val="fr-FR" w:eastAsia="en-US"/>
              </w:rPr>
            </w:pPr>
          </w:p>
          <w:p w:rsidR="00CF62A4" w:rsidRDefault="00CF62A4" w:rsidP="006E1ABB">
            <w:pPr>
              <w:jc w:val="both"/>
              <w:rPr>
                <w:b/>
                <w:i/>
                <w:sz w:val="22"/>
                <w:szCs w:val="22"/>
                <w:lang w:val="fr-FR"/>
              </w:rPr>
            </w:pPr>
            <w:r w:rsidRPr="00A90642">
              <w:rPr>
                <w:b/>
                <w:bCs/>
                <w:i/>
                <w:sz w:val="22"/>
                <w:szCs w:val="22"/>
                <w:u w:val="single"/>
                <w:lang w:val="fr-FR"/>
              </w:rPr>
              <w:t xml:space="preserve">Sous composante </w:t>
            </w:r>
            <w:r w:rsidR="00A90642">
              <w:rPr>
                <w:b/>
                <w:bCs/>
                <w:i/>
                <w:sz w:val="22"/>
                <w:szCs w:val="22"/>
                <w:u w:val="single"/>
                <w:lang w:val="fr-FR"/>
              </w:rPr>
              <w:t>2</w:t>
            </w:r>
            <w:r w:rsidRPr="00A90642">
              <w:rPr>
                <w:b/>
                <w:bCs/>
                <w:i/>
                <w:sz w:val="22"/>
                <w:szCs w:val="22"/>
                <w:u w:val="single"/>
                <w:lang w:val="fr-FR"/>
              </w:rPr>
              <w:t>1</w:t>
            </w:r>
            <w:r w:rsidRPr="00A90642">
              <w:rPr>
                <w:b/>
                <w:i/>
                <w:sz w:val="22"/>
                <w:szCs w:val="22"/>
                <w:u w:val="single"/>
                <w:lang w:val="fr-FR"/>
              </w:rPr>
              <w:t> </w:t>
            </w:r>
            <w:r w:rsidRPr="00A90642">
              <w:rPr>
                <w:b/>
                <w:i/>
                <w:sz w:val="22"/>
                <w:szCs w:val="22"/>
                <w:lang w:val="fr-FR"/>
              </w:rPr>
              <w:t>: Services d’appui adaptés aux micro-entreprises rurales existantes</w:t>
            </w:r>
          </w:p>
          <w:p w:rsidR="00A90642" w:rsidRDefault="00A90642" w:rsidP="006E1ABB">
            <w:pPr>
              <w:jc w:val="both"/>
              <w:rPr>
                <w:b/>
                <w:i/>
                <w:sz w:val="22"/>
                <w:szCs w:val="22"/>
                <w:lang w:val="fr-FR"/>
              </w:rPr>
            </w:pPr>
          </w:p>
          <w:p w:rsidR="00C25655" w:rsidRPr="00A90642" w:rsidRDefault="00C25655" w:rsidP="006E1ABB">
            <w:pPr>
              <w:jc w:val="both"/>
              <w:rPr>
                <w:b/>
                <w:i/>
                <w:sz w:val="22"/>
                <w:szCs w:val="22"/>
                <w:lang w:val="fr-FR"/>
              </w:rPr>
            </w:pPr>
          </w:p>
          <w:p w:rsidR="00A90642" w:rsidRPr="00A90642" w:rsidRDefault="00A90642" w:rsidP="006247B1">
            <w:pPr>
              <w:numPr>
                <w:ilvl w:val="0"/>
                <w:numId w:val="6"/>
              </w:numPr>
              <w:tabs>
                <w:tab w:val="clear" w:pos="1776"/>
              </w:tabs>
              <w:ind w:left="567" w:hanging="567"/>
              <w:jc w:val="both"/>
              <w:rPr>
                <w:rFonts w:ascii="Century Gothic" w:hAnsi="Century Gothic"/>
                <w:sz w:val="20"/>
                <w:szCs w:val="20"/>
                <w:u w:val="single"/>
                <w:lang w:val="fr-FR"/>
              </w:rPr>
            </w:pPr>
            <w:r w:rsidRPr="00A90642">
              <w:rPr>
                <w:rFonts w:ascii="Century Gothic" w:hAnsi="Century Gothic"/>
                <w:sz w:val="20"/>
                <w:szCs w:val="20"/>
                <w:u w:val="single"/>
                <w:lang w:val="fr-FR"/>
              </w:rPr>
              <w:t xml:space="preserve">Mise à niveau des PSE  </w:t>
            </w:r>
          </w:p>
          <w:p w:rsidR="00A90642" w:rsidRPr="00A90642" w:rsidRDefault="00A90642"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A90642">
              <w:rPr>
                <w:rFonts w:ascii="Century Gothic" w:hAnsi="Century Gothic" w:cs="Arial"/>
                <w:color w:val="000000"/>
                <w:sz w:val="20"/>
                <w:szCs w:val="20"/>
              </w:rPr>
              <w:t>19 formateurs (PSE) mis à niveau en culture d’épargne et de crédit</w:t>
            </w:r>
            <w:r>
              <w:rPr>
                <w:rFonts w:ascii="Century Gothic" w:hAnsi="Century Gothic" w:cs="Arial"/>
                <w:color w:val="000000"/>
                <w:sz w:val="20"/>
                <w:szCs w:val="20"/>
              </w:rPr>
              <w:t> ;</w:t>
            </w:r>
            <w:r w:rsidRPr="00A90642">
              <w:rPr>
                <w:rFonts w:ascii="Century Gothic" w:hAnsi="Century Gothic" w:cs="Arial"/>
                <w:color w:val="000000"/>
                <w:sz w:val="20"/>
                <w:szCs w:val="20"/>
              </w:rPr>
              <w:t> </w:t>
            </w:r>
          </w:p>
          <w:p w:rsidR="00A90642" w:rsidRPr="00A90642" w:rsidRDefault="00A90642"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A90642">
              <w:rPr>
                <w:rFonts w:ascii="Century Gothic" w:hAnsi="Century Gothic" w:cs="Arial"/>
                <w:color w:val="000000"/>
                <w:sz w:val="20"/>
                <w:szCs w:val="20"/>
              </w:rPr>
              <w:t>11 formateurs (PSE) mis à niveau en diagnostic et business plan</w:t>
            </w:r>
            <w:r>
              <w:rPr>
                <w:rFonts w:ascii="Century Gothic" w:hAnsi="Century Gothic" w:cs="Arial"/>
                <w:color w:val="000000"/>
                <w:sz w:val="20"/>
                <w:szCs w:val="20"/>
              </w:rPr>
              <w:t> ;</w:t>
            </w:r>
            <w:r w:rsidRPr="00A90642">
              <w:rPr>
                <w:rFonts w:ascii="Century Gothic" w:hAnsi="Century Gothic" w:cs="Arial"/>
                <w:color w:val="000000"/>
                <w:sz w:val="20"/>
                <w:szCs w:val="20"/>
              </w:rPr>
              <w:t> </w:t>
            </w:r>
          </w:p>
          <w:p w:rsidR="00A90642" w:rsidRPr="00A90642" w:rsidRDefault="00A90642"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A90642">
              <w:rPr>
                <w:rFonts w:ascii="Century Gothic" w:hAnsi="Century Gothic" w:cs="Arial"/>
                <w:color w:val="000000"/>
                <w:sz w:val="20"/>
                <w:szCs w:val="20"/>
              </w:rPr>
              <w:t>53 formateurs (PSE) mis à niveau en technique et qualité</w:t>
            </w:r>
            <w:r>
              <w:rPr>
                <w:rFonts w:ascii="Century Gothic" w:hAnsi="Century Gothic" w:cs="Arial"/>
                <w:color w:val="000000"/>
                <w:sz w:val="20"/>
                <w:szCs w:val="20"/>
              </w:rPr>
              <w:t> ;</w:t>
            </w:r>
            <w:r w:rsidRPr="00A90642">
              <w:rPr>
                <w:rFonts w:ascii="Century Gothic" w:hAnsi="Century Gothic" w:cs="Arial"/>
                <w:color w:val="000000"/>
                <w:sz w:val="20"/>
                <w:szCs w:val="20"/>
              </w:rPr>
              <w:t xml:space="preserve">  </w:t>
            </w:r>
          </w:p>
          <w:p w:rsidR="00A90642" w:rsidRPr="00A90642" w:rsidRDefault="00A90642" w:rsidP="006247B1">
            <w:pPr>
              <w:pStyle w:val="Paragraphedeliste"/>
              <w:numPr>
                <w:ilvl w:val="0"/>
                <w:numId w:val="7"/>
              </w:numPr>
              <w:tabs>
                <w:tab w:val="num" w:pos="567"/>
              </w:tabs>
              <w:spacing w:after="0" w:line="240" w:lineRule="auto"/>
              <w:jc w:val="both"/>
              <w:rPr>
                <w:rFonts w:ascii="Century Gothic" w:hAnsi="Century Gothic"/>
                <w:color w:val="000000"/>
                <w:sz w:val="20"/>
                <w:szCs w:val="20"/>
              </w:rPr>
            </w:pPr>
            <w:r w:rsidRPr="00A90642">
              <w:rPr>
                <w:rFonts w:ascii="Century Gothic" w:hAnsi="Century Gothic" w:cs="Arial"/>
                <w:color w:val="000000"/>
                <w:sz w:val="20"/>
                <w:szCs w:val="20"/>
              </w:rPr>
              <w:t>4 types de référentiels standards – guides du formateur – supports de cours élaborés</w:t>
            </w:r>
            <w:r>
              <w:rPr>
                <w:rFonts w:ascii="Century Gothic" w:hAnsi="Century Gothic" w:cs="Arial"/>
                <w:color w:val="000000"/>
                <w:sz w:val="20"/>
                <w:szCs w:val="20"/>
              </w:rPr>
              <w:t>.</w:t>
            </w:r>
          </w:p>
          <w:p w:rsidR="00A90642" w:rsidRPr="00A90642" w:rsidRDefault="00A90642" w:rsidP="00A90642">
            <w:pPr>
              <w:pStyle w:val="Paragraphedeliste"/>
              <w:spacing w:after="0" w:line="240" w:lineRule="auto"/>
              <w:ind w:left="1290"/>
              <w:jc w:val="both"/>
              <w:rPr>
                <w:rFonts w:ascii="Century Gothic" w:hAnsi="Century Gothic"/>
                <w:color w:val="000000"/>
                <w:sz w:val="20"/>
                <w:szCs w:val="20"/>
              </w:rPr>
            </w:pPr>
          </w:p>
          <w:p w:rsidR="00A90642" w:rsidRPr="00A90642" w:rsidRDefault="00A90642" w:rsidP="006247B1">
            <w:pPr>
              <w:numPr>
                <w:ilvl w:val="0"/>
                <w:numId w:val="6"/>
              </w:numPr>
              <w:tabs>
                <w:tab w:val="clear" w:pos="1776"/>
              </w:tabs>
              <w:ind w:left="567" w:hanging="567"/>
              <w:jc w:val="both"/>
              <w:rPr>
                <w:rFonts w:ascii="Century Gothic" w:hAnsi="Century Gothic"/>
                <w:sz w:val="20"/>
                <w:szCs w:val="20"/>
                <w:u w:val="single"/>
                <w:lang w:val="fr-FR"/>
              </w:rPr>
            </w:pPr>
            <w:r w:rsidRPr="00A90642">
              <w:rPr>
                <w:rFonts w:ascii="Century Gothic" w:hAnsi="Century Gothic"/>
                <w:sz w:val="20"/>
                <w:szCs w:val="20"/>
                <w:u w:val="single"/>
                <w:lang w:val="fr-FR"/>
              </w:rPr>
              <w:t>Renforcement de capacités des MER/PER existantes </w:t>
            </w:r>
          </w:p>
          <w:p w:rsidR="00A90642" w:rsidRPr="00A90642" w:rsidRDefault="00A90642"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A90642">
              <w:rPr>
                <w:rFonts w:ascii="Century Gothic" w:hAnsi="Century Gothic" w:cs="Arial"/>
                <w:color w:val="000000"/>
                <w:sz w:val="20"/>
                <w:szCs w:val="20"/>
              </w:rPr>
              <w:t xml:space="preserve">1030 MER/PER formées en culture d’épargne </w:t>
            </w:r>
            <w:r>
              <w:rPr>
                <w:rFonts w:ascii="Century Gothic" w:hAnsi="Century Gothic" w:cs="Arial"/>
                <w:color w:val="000000"/>
                <w:sz w:val="20"/>
                <w:szCs w:val="20"/>
              </w:rPr>
              <w:t>–</w:t>
            </w:r>
            <w:r w:rsidRPr="00A90642">
              <w:rPr>
                <w:rFonts w:ascii="Century Gothic" w:hAnsi="Century Gothic" w:cs="Arial"/>
                <w:color w:val="000000"/>
                <w:sz w:val="20"/>
                <w:szCs w:val="20"/>
              </w:rPr>
              <w:t xml:space="preserve"> crédit</w:t>
            </w:r>
            <w:r>
              <w:rPr>
                <w:rFonts w:ascii="Century Gothic" w:hAnsi="Century Gothic" w:cs="Arial"/>
                <w:color w:val="000000"/>
                <w:sz w:val="20"/>
                <w:szCs w:val="20"/>
              </w:rPr>
              <w:t> ;</w:t>
            </w:r>
            <w:r w:rsidRPr="00A90642">
              <w:rPr>
                <w:rFonts w:ascii="Century Gothic" w:hAnsi="Century Gothic" w:cs="Arial"/>
                <w:color w:val="000000"/>
                <w:sz w:val="20"/>
                <w:szCs w:val="20"/>
              </w:rPr>
              <w:t> </w:t>
            </w:r>
          </w:p>
          <w:p w:rsidR="00A90642" w:rsidRPr="00A90642" w:rsidRDefault="00A90642"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A90642">
              <w:rPr>
                <w:rFonts w:ascii="Century Gothic" w:hAnsi="Century Gothic" w:cs="Arial"/>
                <w:color w:val="000000"/>
                <w:sz w:val="20"/>
                <w:szCs w:val="20"/>
              </w:rPr>
              <w:t>2005 MER/PER formées en technique et qualité</w:t>
            </w:r>
            <w:r>
              <w:rPr>
                <w:rFonts w:ascii="Century Gothic" w:hAnsi="Century Gothic" w:cs="Arial"/>
                <w:color w:val="000000"/>
                <w:sz w:val="20"/>
                <w:szCs w:val="20"/>
              </w:rPr>
              <w:t> ;</w:t>
            </w:r>
            <w:r w:rsidRPr="00A90642">
              <w:rPr>
                <w:rFonts w:ascii="Century Gothic" w:hAnsi="Century Gothic" w:cs="Arial"/>
                <w:color w:val="000000"/>
                <w:sz w:val="20"/>
                <w:szCs w:val="20"/>
              </w:rPr>
              <w:t xml:space="preserve">  </w:t>
            </w:r>
          </w:p>
          <w:p w:rsidR="00A90642" w:rsidRPr="00A90642" w:rsidRDefault="00A90642"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A90642">
              <w:rPr>
                <w:rFonts w:ascii="Century Gothic" w:hAnsi="Century Gothic" w:cs="Arial"/>
                <w:color w:val="000000"/>
                <w:sz w:val="20"/>
                <w:szCs w:val="20"/>
              </w:rPr>
              <w:t>85 MER/PER formées en langues étrangères et TIC</w:t>
            </w:r>
            <w:r>
              <w:rPr>
                <w:rFonts w:ascii="Century Gothic" w:hAnsi="Century Gothic" w:cs="Arial"/>
                <w:color w:val="000000"/>
                <w:sz w:val="20"/>
                <w:szCs w:val="20"/>
              </w:rPr>
              <w:t> ;</w:t>
            </w:r>
            <w:r w:rsidRPr="00A90642">
              <w:rPr>
                <w:rFonts w:ascii="Century Gothic" w:hAnsi="Century Gothic" w:cs="Arial"/>
                <w:color w:val="000000"/>
                <w:sz w:val="20"/>
                <w:szCs w:val="20"/>
              </w:rPr>
              <w:t> </w:t>
            </w:r>
          </w:p>
          <w:p w:rsidR="00A90642" w:rsidRPr="00A90642" w:rsidRDefault="00A90642"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A90642">
              <w:rPr>
                <w:rFonts w:ascii="Century Gothic" w:hAnsi="Century Gothic" w:cs="Arial"/>
                <w:color w:val="000000"/>
                <w:sz w:val="20"/>
                <w:szCs w:val="20"/>
              </w:rPr>
              <w:t>1560 Business plan élaborés par les PSE et les CE</w:t>
            </w:r>
            <w:r>
              <w:rPr>
                <w:rFonts w:ascii="Century Gothic" w:hAnsi="Century Gothic" w:cs="Arial"/>
                <w:color w:val="000000"/>
                <w:sz w:val="20"/>
                <w:szCs w:val="20"/>
              </w:rPr>
              <w:t> ;</w:t>
            </w:r>
            <w:r w:rsidRPr="00A90642">
              <w:rPr>
                <w:rFonts w:ascii="Century Gothic" w:hAnsi="Century Gothic" w:cs="Arial"/>
                <w:color w:val="000000"/>
                <w:sz w:val="20"/>
                <w:szCs w:val="20"/>
              </w:rPr>
              <w:t> </w:t>
            </w:r>
          </w:p>
          <w:p w:rsidR="00A90642" w:rsidRDefault="00A90642"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A90642">
              <w:rPr>
                <w:rFonts w:ascii="Century Gothic" w:hAnsi="Century Gothic" w:cs="Arial"/>
                <w:color w:val="000000"/>
                <w:sz w:val="20"/>
                <w:szCs w:val="20"/>
              </w:rPr>
              <w:t>4300 MER/PER accompagnées par les CE</w:t>
            </w:r>
            <w:r>
              <w:rPr>
                <w:rFonts w:ascii="Century Gothic" w:hAnsi="Century Gothic" w:cs="Arial"/>
                <w:color w:val="000000"/>
                <w:sz w:val="20"/>
                <w:szCs w:val="20"/>
              </w:rPr>
              <w:t>.</w:t>
            </w:r>
          </w:p>
          <w:p w:rsidR="00A90642" w:rsidRPr="00A90642" w:rsidRDefault="00A90642" w:rsidP="00A90642">
            <w:pPr>
              <w:pStyle w:val="Paragraphedeliste"/>
              <w:spacing w:after="0" w:line="240" w:lineRule="auto"/>
              <w:ind w:left="1290"/>
              <w:jc w:val="both"/>
              <w:rPr>
                <w:rFonts w:ascii="Century Gothic" w:hAnsi="Century Gothic" w:cs="Arial"/>
                <w:color w:val="000000"/>
                <w:sz w:val="20"/>
                <w:szCs w:val="20"/>
              </w:rPr>
            </w:pPr>
          </w:p>
          <w:p w:rsidR="00A90642" w:rsidRPr="00A90642" w:rsidRDefault="00A90642" w:rsidP="006247B1">
            <w:pPr>
              <w:numPr>
                <w:ilvl w:val="0"/>
                <w:numId w:val="6"/>
              </w:numPr>
              <w:tabs>
                <w:tab w:val="clear" w:pos="1776"/>
              </w:tabs>
              <w:ind w:left="567" w:hanging="567"/>
              <w:jc w:val="both"/>
              <w:rPr>
                <w:rFonts w:ascii="Century Gothic" w:hAnsi="Century Gothic"/>
                <w:sz w:val="20"/>
                <w:szCs w:val="20"/>
                <w:u w:val="single"/>
                <w:lang w:val="fr-FR"/>
              </w:rPr>
            </w:pPr>
            <w:r w:rsidRPr="00A90642">
              <w:rPr>
                <w:rFonts w:ascii="Century Gothic" w:hAnsi="Century Gothic"/>
                <w:sz w:val="20"/>
                <w:szCs w:val="20"/>
                <w:u w:val="single"/>
                <w:lang w:val="fr-FR"/>
              </w:rPr>
              <w:t>Appui au Développement et à la Promotion des Filières et Clusters</w:t>
            </w:r>
          </w:p>
          <w:p w:rsidR="00A90642" w:rsidRPr="00A90642" w:rsidRDefault="00A90642"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A90642">
              <w:rPr>
                <w:rFonts w:ascii="Century Gothic" w:hAnsi="Century Gothic" w:cs="Arial"/>
                <w:color w:val="000000"/>
                <w:sz w:val="20"/>
                <w:szCs w:val="20"/>
              </w:rPr>
              <w:t>1 central d’achat de bocaux mise en place et 37 lots de paquets technologiques transférés aux MER</w:t>
            </w:r>
            <w:r w:rsidR="00FD5DBA">
              <w:rPr>
                <w:rFonts w:ascii="Century Gothic" w:hAnsi="Century Gothic" w:cs="Arial"/>
                <w:color w:val="000000"/>
                <w:sz w:val="20"/>
                <w:szCs w:val="20"/>
              </w:rPr>
              <w:t> ;</w:t>
            </w:r>
          </w:p>
          <w:p w:rsidR="00A90642" w:rsidRPr="00A90642" w:rsidRDefault="00A90642"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A90642">
              <w:rPr>
                <w:rFonts w:ascii="Century Gothic" w:hAnsi="Century Gothic" w:cs="Arial"/>
                <w:color w:val="000000"/>
                <w:sz w:val="20"/>
                <w:szCs w:val="20"/>
              </w:rPr>
              <w:t>900 guides de bonne pratique édités</w:t>
            </w:r>
            <w:r w:rsidR="00FD5DBA">
              <w:rPr>
                <w:rFonts w:ascii="Century Gothic" w:hAnsi="Century Gothic" w:cs="Arial"/>
                <w:color w:val="000000"/>
                <w:sz w:val="20"/>
                <w:szCs w:val="20"/>
              </w:rPr>
              <w:t> ;</w:t>
            </w:r>
            <w:r w:rsidRPr="00A90642">
              <w:rPr>
                <w:rFonts w:ascii="Century Gothic" w:hAnsi="Century Gothic" w:cs="Arial"/>
                <w:color w:val="000000"/>
                <w:sz w:val="20"/>
                <w:szCs w:val="20"/>
              </w:rPr>
              <w:t> </w:t>
            </w:r>
          </w:p>
          <w:p w:rsidR="00A90642" w:rsidRPr="00A90642" w:rsidRDefault="00A90642"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A90642">
              <w:rPr>
                <w:rFonts w:ascii="Century Gothic" w:hAnsi="Century Gothic" w:cs="Arial"/>
                <w:color w:val="000000"/>
                <w:sz w:val="20"/>
                <w:szCs w:val="20"/>
              </w:rPr>
              <w:t>participation à des foires:</w:t>
            </w:r>
          </w:p>
          <w:p w:rsidR="00A90642" w:rsidRPr="006F1E9A" w:rsidRDefault="00A90642" w:rsidP="006247B1">
            <w:pPr>
              <w:numPr>
                <w:ilvl w:val="0"/>
                <w:numId w:val="18"/>
              </w:numPr>
              <w:ind w:left="2268"/>
              <w:rPr>
                <w:rFonts w:ascii="Century Gothic" w:hAnsi="Century Gothic"/>
                <w:color w:val="000000"/>
                <w:sz w:val="20"/>
                <w:szCs w:val="20"/>
                <w:lang w:val="fr-FR"/>
              </w:rPr>
            </w:pPr>
            <w:r w:rsidRPr="006F1E9A">
              <w:rPr>
                <w:rFonts w:ascii="Century Gothic" w:hAnsi="Century Gothic"/>
                <w:color w:val="000000"/>
                <w:sz w:val="20"/>
                <w:szCs w:val="20"/>
                <w:lang w:val="fr-FR"/>
              </w:rPr>
              <w:t>foires locales : 85 MER/PER bénéficiaires</w:t>
            </w:r>
          </w:p>
          <w:p w:rsidR="00A90642" w:rsidRPr="006F1E9A" w:rsidRDefault="00A90642" w:rsidP="006247B1">
            <w:pPr>
              <w:numPr>
                <w:ilvl w:val="0"/>
                <w:numId w:val="18"/>
              </w:numPr>
              <w:ind w:left="2268"/>
              <w:rPr>
                <w:rFonts w:ascii="Century Gothic" w:hAnsi="Century Gothic"/>
                <w:color w:val="000000"/>
                <w:sz w:val="20"/>
                <w:szCs w:val="20"/>
                <w:lang w:val="fr-FR"/>
              </w:rPr>
            </w:pPr>
            <w:r w:rsidRPr="006F1E9A">
              <w:rPr>
                <w:rFonts w:ascii="Century Gothic" w:hAnsi="Century Gothic"/>
                <w:color w:val="000000"/>
                <w:sz w:val="20"/>
                <w:szCs w:val="20"/>
                <w:lang w:val="fr-FR"/>
              </w:rPr>
              <w:t>foires nationales : 59 MER/PER bénéficiaires</w:t>
            </w:r>
          </w:p>
          <w:p w:rsidR="00A90642" w:rsidRPr="00A90642" w:rsidRDefault="00A90642" w:rsidP="006247B1">
            <w:pPr>
              <w:pStyle w:val="Paragraphedeliste"/>
              <w:numPr>
                <w:ilvl w:val="0"/>
                <w:numId w:val="7"/>
              </w:numPr>
              <w:tabs>
                <w:tab w:val="num" w:pos="567"/>
              </w:tabs>
              <w:spacing w:after="0" w:line="240" w:lineRule="auto"/>
              <w:jc w:val="both"/>
              <w:rPr>
                <w:rFonts w:ascii="Century Gothic" w:hAnsi="Century Gothic"/>
                <w:color w:val="000000"/>
                <w:sz w:val="20"/>
                <w:szCs w:val="20"/>
              </w:rPr>
            </w:pPr>
            <w:r w:rsidRPr="006F1E9A">
              <w:rPr>
                <w:rFonts w:ascii="Century Gothic" w:hAnsi="Century Gothic" w:cs="Arial"/>
                <w:color w:val="000000"/>
                <w:sz w:val="20"/>
                <w:szCs w:val="20"/>
              </w:rPr>
              <w:t>1 système d’information sur le marché opérationnel</w:t>
            </w:r>
            <w:r w:rsidR="00FD5DBA">
              <w:rPr>
                <w:rFonts w:ascii="Century Gothic" w:hAnsi="Century Gothic" w:cs="Arial"/>
                <w:color w:val="000000"/>
                <w:sz w:val="20"/>
                <w:szCs w:val="20"/>
              </w:rPr>
              <w:t>.</w:t>
            </w:r>
          </w:p>
          <w:p w:rsidR="00CF62A4" w:rsidRPr="0031325D" w:rsidRDefault="00CF62A4" w:rsidP="006E1ABB">
            <w:pPr>
              <w:jc w:val="both"/>
              <w:rPr>
                <w:sz w:val="22"/>
                <w:szCs w:val="22"/>
                <w:lang w:val="fr-FR"/>
              </w:rPr>
            </w:pPr>
          </w:p>
          <w:p w:rsidR="00CF62A4" w:rsidRPr="006F1E9A" w:rsidRDefault="00CF62A4" w:rsidP="006E1ABB">
            <w:pPr>
              <w:pStyle w:val="Titre3"/>
              <w:numPr>
                <w:ilvl w:val="0"/>
                <w:numId w:val="0"/>
              </w:numPr>
              <w:rPr>
                <w:b/>
                <w:iCs/>
                <w:szCs w:val="22"/>
              </w:rPr>
            </w:pPr>
            <w:r w:rsidRPr="006F1E9A">
              <w:rPr>
                <w:b/>
                <w:bCs/>
                <w:iCs/>
                <w:szCs w:val="22"/>
                <w:u w:val="single"/>
              </w:rPr>
              <w:t>Sous composante 2</w:t>
            </w:r>
            <w:r w:rsidRPr="006F1E9A">
              <w:rPr>
                <w:b/>
                <w:iCs/>
                <w:szCs w:val="22"/>
              </w:rPr>
              <w:t xml:space="preserve"> : Formation professionnelles et apprentissages fondamentaux </w:t>
            </w:r>
          </w:p>
          <w:p w:rsidR="006F1E9A" w:rsidRPr="006F1E9A" w:rsidRDefault="006F1E9A" w:rsidP="006F1E9A">
            <w:pPr>
              <w:rPr>
                <w:rFonts w:ascii="Arial" w:hAnsi="Arial"/>
                <w:lang w:val="fr-FR" w:eastAsia="en-US"/>
              </w:rPr>
            </w:pPr>
          </w:p>
          <w:p w:rsidR="00D11FC8" w:rsidRPr="00D11FC8" w:rsidRDefault="00D11FC8" w:rsidP="006247B1">
            <w:pPr>
              <w:numPr>
                <w:ilvl w:val="0"/>
                <w:numId w:val="6"/>
              </w:numPr>
              <w:tabs>
                <w:tab w:val="clear" w:pos="1776"/>
              </w:tabs>
              <w:ind w:left="567" w:hanging="567"/>
              <w:jc w:val="both"/>
              <w:rPr>
                <w:rFonts w:ascii="Century Gothic" w:hAnsi="Century Gothic"/>
                <w:sz w:val="20"/>
                <w:szCs w:val="20"/>
                <w:u w:val="single"/>
                <w:lang w:val="fr-FR"/>
              </w:rPr>
            </w:pPr>
            <w:r w:rsidRPr="00D11FC8">
              <w:rPr>
                <w:rFonts w:ascii="Century Gothic" w:hAnsi="Century Gothic"/>
                <w:sz w:val="20"/>
                <w:szCs w:val="20"/>
                <w:u w:val="single"/>
                <w:lang w:val="fr-FR"/>
              </w:rPr>
              <w:t>Alphabétisation des jeunes et adultes ruraux</w:t>
            </w:r>
          </w:p>
          <w:p w:rsidR="00D11FC8" w:rsidRDefault="00D11FC8"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D11FC8">
              <w:rPr>
                <w:rFonts w:ascii="Century Gothic" w:hAnsi="Century Gothic" w:cs="Arial"/>
                <w:color w:val="000000"/>
                <w:sz w:val="20"/>
                <w:szCs w:val="20"/>
              </w:rPr>
              <w:t>660  Adultes alphabétisés</w:t>
            </w:r>
          </w:p>
          <w:p w:rsidR="00D11FC8" w:rsidRPr="00D11FC8" w:rsidRDefault="00D11FC8" w:rsidP="00D11FC8">
            <w:pPr>
              <w:pStyle w:val="Paragraphedeliste"/>
              <w:spacing w:after="0" w:line="240" w:lineRule="auto"/>
              <w:ind w:left="1290"/>
              <w:jc w:val="both"/>
              <w:rPr>
                <w:rFonts w:ascii="Century Gothic" w:hAnsi="Century Gothic" w:cs="Arial"/>
                <w:color w:val="000000"/>
                <w:sz w:val="20"/>
                <w:szCs w:val="20"/>
              </w:rPr>
            </w:pPr>
          </w:p>
          <w:p w:rsidR="00D11FC8" w:rsidRPr="0044428C" w:rsidRDefault="00D11FC8" w:rsidP="006247B1">
            <w:pPr>
              <w:numPr>
                <w:ilvl w:val="0"/>
                <w:numId w:val="6"/>
              </w:numPr>
              <w:tabs>
                <w:tab w:val="clear" w:pos="1776"/>
              </w:tabs>
              <w:ind w:left="567" w:hanging="567"/>
              <w:jc w:val="both"/>
              <w:rPr>
                <w:rFonts w:ascii="Century Gothic" w:hAnsi="Century Gothic"/>
                <w:sz w:val="20"/>
                <w:szCs w:val="20"/>
                <w:u w:val="single"/>
              </w:rPr>
            </w:pPr>
            <w:r w:rsidRPr="00D11FC8">
              <w:rPr>
                <w:rFonts w:ascii="Century Gothic" w:hAnsi="Century Gothic"/>
                <w:sz w:val="20"/>
                <w:szCs w:val="20"/>
                <w:u w:val="single"/>
                <w:lang w:val="fr-FR"/>
              </w:rPr>
              <w:t>Apprentissage et formation professionnelle</w:t>
            </w:r>
          </w:p>
          <w:p w:rsidR="00D11FC8" w:rsidRPr="00D11FC8" w:rsidRDefault="00D11FC8"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D11FC8">
              <w:rPr>
                <w:rFonts w:ascii="Century Gothic" w:hAnsi="Century Gothic" w:cs="Arial"/>
                <w:color w:val="000000"/>
                <w:sz w:val="20"/>
                <w:szCs w:val="20"/>
              </w:rPr>
              <w:t>430  jeunes ruraux mis en apprentissage</w:t>
            </w:r>
            <w:r>
              <w:rPr>
                <w:rFonts w:ascii="Century Gothic" w:hAnsi="Century Gothic" w:cs="Arial"/>
                <w:color w:val="000000"/>
                <w:sz w:val="20"/>
                <w:szCs w:val="20"/>
              </w:rPr>
              <w:t> ;</w:t>
            </w:r>
            <w:r w:rsidRPr="00D11FC8">
              <w:rPr>
                <w:rFonts w:ascii="Century Gothic" w:hAnsi="Century Gothic" w:cs="Arial"/>
                <w:color w:val="000000"/>
                <w:sz w:val="20"/>
                <w:szCs w:val="20"/>
              </w:rPr>
              <w:t> </w:t>
            </w:r>
          </w:p>
          <w:p w:rsidR="00D11FC8" w:rsidRPr="00D11FC8" w:rsidRDefault="00D11FC8" w:rsidP="006247B1">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D11FC8">
              <w:rPr>
                <w:rFonts w:ascii="Century Gothic" w:hAnsi="Century Gothic" w:cs="Arial"/>
                <w:color w:val="000000"/>
                <w:sz w:val="20"/>
                <w:szCs w:val="20"/>
              </w:rPr>
              <w:t>130 jeunes ayant suivi une formation professionnelle</w:t>
            </w:r>
            <w:r>
              <w:rPr>
                <w:rFonts w:ascii="Century Gothic" w:hAnsi="Century Gothic" w:cs="Arial"/>
                <w:color w:val="000000"/>
                <w:sz w:val="20"/>
                <w:szCs w:val="20"/>
              </w:rPr>
              <w:t> ;</w:t>
            </w:r>
            <w:r w:rsidRPr="00D11FC8">
              <w:rPr>
                <w:rFonts w:ascii="Century Gothic" w:hAnsi="Century Gothic" w:cs="Arial"/>
                <w:color w:val="000000"/>
                <w:sz w:val="20"/>
                <w:szCs w:val="20"/>
              </w:rPr>
              <w:t> </w:t>
            </w:r>
          </w:p>
          <w:p w:rsidR="00D11FC8" w:rsidRPr="00D11FC8" w:rsidRDefault="00D11FC8" w:rsidP="00C25655">
            <w:pPr>
              <w:pStyle w:val="Paragraphedeliste"/>
              <w:numPr>
                <w:ilvl w:val="0"/>
                <w:numId w:val="7"/>
              </w:numPr>
              <w:tabs>
                <w:tab w:val="num" w:pos="567"/>
              </w:tabs>
              <w:spacing w:after="0" w:line="240" w:lineRule="auto"/>
              <w:jc w:val="both"/>
              <w:rPr>
                <w:rFonts w:ascii="Century Gothic" w:hAnsi="Century Gothic" w:cs="Arial"/>
                <w:color w:val="000000"/>
                <w:sz w:val="20"/>
                <w:szCs w:val="20"/>
              </w:rPr>
            </w:pPr>
            <w:r w:rsidRPr="00D11FC8">
              <w:rPr>
                <w:rFonts w:ascii="Century Gothic" w:hAnsi="Century Gothic" w:cs="Arial"/>
                <w:color w:val="000000"/>
                <w:sz w:val="20"/>
                <w:szCs w:val="20"/>
              </w:rPr>
              <w:t>200 jeunes ayant bénéficié de kit de démarrage</w:t>
            </w:r>
            <w:r>
              <w:rPr>
                <w:rFonts w:ascii="Century Gothic" w:hAnsi="Century Gothic" w:cs="Arial"/>
                <w:color w:val="000000"/>
                <w:sz w:val="20"/>
                <w:szCs w:val="20"/>
              </w:rPr>
              <w:t>.</w:t>
            </w:r>
          </w:p>
          <w:p w:rsidR="00C25655" w:rsidRDefault="00C25655" w:rsidP="00C25655">
            <w:pPr>
              <w:pStyle w:val="Titre8"/>
              <w:spacing w:before="0" w:after="0"/>
              <w:rPr>
                <w:b/>
                <w:bCs/>
                <w:i w:val="0"/>
                <w:iCs w:val="0"/>
                <w:sz w:val="22"/>
                <w:szCs w:val="22"/>
                <w:lang w:val="fr-FR"/>
              </w:rPr>
            </w:pPr>
          </w:p>
          <w:p w:rsidR="00CF62A4" w:rsidRPr="009D0FAF" w:rsidRDefault="00CF62A4" w:rsidP="00C25655">
            <w:pPr>
              <w:pStyle w:val="Titre8"/>
              <w:spacing w:before="0" w:after="0"/>
              <w:rPr>
                <w:b/>
                <w:bCs/>
                <w:i w:val="0"/>
                <w:iCs w:val="0"/>
                <w:sz w:val="22"/>
                <w:szCs w:val="22"/>
                <w:lang w:val="fr-FR"/>
              </w:rPr>
            </w:pPr>
            <w:r w:rsidRPr="009D0FAF">
              <w:rPr>
                <w:b/>
                <w:bCs/>
                <w:i w:val="0"/>
                <w:iCs w:val="0"/>
                <w:sz w:val="22"/>
                <w:szCs w:val="22"/>
                <w:lang w:val="fr-FR"/>
              </w:rPr>
              <w:t>C</w:t>
            </w:r>
            <w:r w:rsidR="009D0FAF" w:rsidRPr="009D0FAF">
              <w:rPr>
                <w:b/>
                <w:bCs/>
                <w:i w:val="0"/>
                <w:iCs w:val="0"/>
                <w:sz w:val="22"/>
                <w:szCs w:val="22"/>
                <w:lang w:val="fr-FR"/>
              </w:rPr>
              <w:t>OMPOSANTE</w:t>
            </w:r>
            <w:r w:rsidRPr="009D0FAF">
              <w:rPr>
                <w:b/>
                <w:bCs/>
                <w:i w:val="0"/>
                <w:iCs w:val="0"/>
                <w:sz w:val="22"/>
                <w:szCs w:val="22"/>
                <w:lang w:val="fr-FR"/>
              </w:rPr>
              <w:t xml:space="preserve"> 3 - FINANCES RURALES ET GESTION DES RISQUES</w:t>
            </w:r>
          </w:p>
          <w:p w:rsidR="00CF62A4" w:rsidRPr="009F45CD" w:rsidRDefault="00CF62A4" w:rsidP="009D0FAF">
            <w:pPr>
              <w:jc w:val="both"/>
              <w:rPr>
                <w:bCs/>
                <w:iCs/>
                <w:sz w:val="22"/>
                <w:szCs w:val="22"/>
                <w:lang w:val="fr-FR" w:eastAsia="en-US"/>
              </w:rPr>
            </w:pPr>
            <w:r w:rsidRPr="00EC0748">
              <w:rPr>
                <w:b/>
                <w:bCs/>
                <w:i/>
                <w:iCs/>
                <w:szCs w:val="22"/>
                <w:lang w:val="fr-FR"/>
              </w:rPr>
              <w:t xml:space="preserve">     </w:t>
            </w:r>
          </w:p>
          <w:p w:rsidR="00CF62A4" w:rsidRPr="009D0FAF" w:rsidRDefault="00CF62A4" w:rsidP="006E1ABB">
            <w:pPr>
              <w:pStyle w:val="Titre3"/>
              <w:numPr>
                <w:ilvl w:val="0"/>
                <w:numId w:val="0"/>
              </w:numPr>
              <w:rPr>
                <w:b/>
                <w:iCs/>
                <w:szCs w:val="22"/>
              </w:rPr>
            </w:pPr>
            <w:r w:rsidRPr="009D0FAF">
              <w:rPr>
                <w:b/>
                <w:bCs/>
                <w:iCs/>
                <w:szCs w:val="22"/>
                <w:u w:val="single"/>
              </w:rPr>
              <w:t>Sous composante 1</w:t>
            </w:r>
            <w:r w:rsidRPr="009D0FAF">
              <w:rPr>
                <w:b/>
                <w:iCs/>
                <w:szCs w:val="22"/>
              </w:rPr>
              <w:t> : Accès aux crédits</w:t>
            </w:r>
          </w:p>
          <w:p w:rsidR="009D0FAF" w:rsidRPr="009D0FAF" w:rsidRDefault="009D0FAF" w:rsidP="009D0FAF">
            <w:pPr>
              <w:rPr>
                <w:rFonts w:ascii="Arial" w:hAnsi="Arial"/>
                <w:lang w:val="fr-FR" w:eastAsia="en-US"/>
              </w:rPr>
            </w:pPr>
          </w:p>
          <w:p w:rsidR="009D0FAF" w:rsidRDefault="009D0FAF" w:rsidP="006247B1">
            <w:pPr>
              <w:numPr>
                <w:ilvl w:val="0"/>
                <w:numId w:val="5"/>
              </w:numPr>
              <w:tabs>
                <w:tab w:val="clear" w:pos="720"/>
              </w:tabs>
              <w:ind w:left="567" w:right="32" w:hanging="567"/>
              <w:jc w:val="both"/>
              <w:rPr>
                <w:rFonts w:ascii="Century Gothic" w:hAnsi="Century Gothic"/>
                <w:sz w:val="20"/>
                <w:szCs w:val="20"/>
                <w:lang w:val="fr-FR"/>
              </w:rPr>
            </w:pPr>
            <w:r w:rsidRPr="009D0FAF">
              <w:rPr>
                <w:rFonts w:ascii="Century Gothic" w:hAnsi="Century Gothic"/>
                <w:sz w:val="20"/>
                <w:szCs w:val="20"/>
                <w:lang w:val="fr-FR"/>
              </w:rPr>
              <w:t xml:space="preserve">La finalisation des conventions de partenariat avec FENU/PNUD, CNMF, et IFC pour la mise en œuvre de la composante 3 ; </w:t>
            </w:r>
          </w:p>
          <w:p w:rsidR="009D0FAF" w:rsidRPr="009D0FAF" w:rsidRDefault="009D0FAF" w:rsidP="009D0FAF">
            <w:pPr>
              <w:ind w:left="567" w:right="32"/>
              <w:jc w:val="both"/>
              <w:rPr>
                <w:rFonts w:ascii="Century Gothic" w:hAnsi="Century Gothic"/>
                <w:sz w:val="20"/>
                <w:szCs w:val="20"/>
                <w:lang w:val="fr-FR"/>
              </w:rPr>
            </w:pPr>
          </w:p>
          <w:p w:rsidR="009D0FAF" w:rsidRDefault="009D0FAF" w:rsidP="006247B1">
            <w:pPr>
              <w:numPr>
                <w:ilvl w:val="0"/>
                <w:numId w:val="5"/>
              </w:numPr>
              <w:tabs>
                <w:tab w:val="clear" w:pos="720"/>
              </w:tabs>
              <w:ind w:left="567" w:right="32" w:hanging="567"/>
              <w:jc w:val="both"/>
              <w:rPr>
                <w:rFonts w:ascii="Century Gothic" w:hAnsi="Century Gothic"/>
                <w:sz w:val="20"/>
                <w:szCs w:val="20"/>
                <w:lang w:val="fr-FR"/>
              </w:rPr>
            </w:pPr>
            <w:r w:rsidRPr="009D0FAF">
              <w:rPr>
                <w:rFonts w:ascii="Century Gothic" w:hAnsi="Century Gothic"/>
                <w:sz w:val="20"/>
                <w:szCs w:val="20"/>
                <w:lang w:val="fr-FR"/>
              </w:rPr>
              <w:t xml:space="preserve">La facilitation de l’accès aux services financiers pérennes pour les MER par la création de nouveaux points de services, le renforcement des points de services déjà existants et le renforcement des services administratifs locaux (implantation de guichets fonciers, opération CIN, informatisation des greffes des tribunaux) ; </w:t>
            </w:r>
          </w:p>
          <w:p w:rsidR="009D0FAF" w:rsidRPr="009D0FAF" w:rsidRDefault="009D0FAF" w:rsidP="009D0FAF">
            <w:pPr>
              <w:ind w:right="32"/>
              <w:jc w:val="both"/>
              <w:rPr>
                <w:rFonts w:ascii="Century Gothic" w:hAnsi="Century Gothic"/>
                <w:sz w:val="20"/>
                <w:szCs w:val="20"/>
                <w:lang w:val="fr-FR"/>
              </w:rPr>
            </w:pPr>
          </w:p>
          <w:p w:rsidR="009D0FAF" w:rsidRDefault="009D0FAF" w:rsidP="006247B1">
            <w:pPr>
              <w:numPr>
                <w:ilvl w:val="0"/>
                <w:numId w:val="5"/>
              </w:numPr>
              <w:tabs>
                <w:tab w:val="clear" w:pos="720"/>
              </w:tabs>
              <w:ind w:left="567" w:right="32" w:hanging="567"/>
              <w:jc w:val="both"/>
              <w:rPr>
                <w:rFonts w:ascii="Century Gothic" w:hAnsi="Century Gothic"/>
                <w:sz w:val="20"/>
                <w:szCs w:val="20"/>
                <w:lang w:val="fr-FR"/>
              </w:rPr>
            </w:pPr>
            <w:r w:rsidRPr="009D0FAF">
              <w:rPr>
                <w:rFonts w:ascii="Century Gothic" w:hAnsi="Century Gothic"/>
                <w:sz w:val="20"/>
                <w:szCs w:val="20"/>
                <w:lang w:val="fr-FR"/>
              </w:rPr>
              <w:t xml:space="preserve">L’adaptation des produits financiers des institutions de micro-finance partenaires du Programme aux besoins des MER ; </w:t>
            </w:r>
          </w:p>
          <w:p w:rsidR="009D0FAF" w:rsidRPr="009D0FAF" w:rsidRDefault="009D0FAF" w:rsidP="009D0FAF">
            <w:pPr>
              <w:ind w:right="32"/>
              <w:jc w:val="both"/>
              <w:rPr>
                <w:rFonts w:ascii="Century Gothic" w:hAnsi="Century Gothic"/>
                <w:sz w:val="20"/>
                <w:szCs w:val="20"/>
                <w:lang w:val="fr-FR"/>
              </w:rPr>
            </w:pPr>
          </w:p>
          <w:p w:rsidR="009D0FAF" w:rsidRDefault="009D0FAF" w:rsidP="006247B1">
            <w:pPr>
              <w:numPr>
                <w:ilvl w:val="0"/>
                <w:numId w:val="5"/>
              </w:numPr>
              <w:tabs>
                <w:tab w:val="clear" w:pos="720"/>
              </w:tabs>
              <w:ind w:left="567" w:right="32" w:hanging="567"/>
              <w:jc w:val="both"/>
              <w:rPr>
                <w:rFonts w:ascii="Century Gothic" w:hAnsi="Century Gothic"/>
                <w:sz w:val="20"/>
                <w:szCs w:val="20"/>
                <w:lang w:val="fr-FR"/>
              </w:rPr>
            </w:pPr>
            <w:r w:rsidRPr="009D0FAF">
              <w:rPr>
                <w:rFonts w:ascii="Century Gothic" w:hAnsi="Century Gothic"/>
                <w:sz w:val="20"/>
                <w:szCs w:val="20"/>
                <w:lang w:val="fr-FR"/>
              </w:rPr>
              <w:t>Le démarrage de l’offre de crédits à moyen terme (Crédit bail,  crédit coup de pouce et crédit de croissance) en favorisant l’accès des MER/PER femmes ;</w:t>
            </w:r>
          </w:p>
          <w:p w:rsidR="009D0FAF" w:rsidRPr="009D0FAF" w:rsidRDefault="009D0FAF" w:rsidP="009D0FAF">
            <w:pPr>
              <w:ind w:right="32"/>
              <w:jc w:val="both"/>
              <w:rPr>
                <w:rFonts w:ascii="Century Gothic" w:hAnsi="Century Gothic"/>
                <w:sz w:val="20"/>
                <w:szCs w:val="20"/>
                <w:lang w:val="fr-FR"/>
              </w:rPr>
            </w:pPr>
          </w:p>
          <w:p w:rsidR="009D0FAF" w:rsidRPr="009D0FAF" w:rsidRDefault="009D0FAF" w:rsidP="006247B1">
            <w:pPr>
              <w:numPr>
                <w:ilvl w:val="0"/>
                <w:numId w:val="5"/>
              </w:numPr>
              <w:tabs>
                <w:tab w:val="clear" w:pos="720"/>
              </w:tabs>
              <w:ind w:left="567" w:right="32" w:hanging="567"/>
              <w:jc w:val="both"/>
              <w:rPr>
                <w:rFonts w:ascii="Century Gothic" w:hAnsi="Century Gothic"/>
                <w:sz w:val="20"/>
                <w:szCs w:val="20"/>
                <w:lang w:val="fr-FR"/>
              </w:rPr>
            </w:pPr>
            <w:r w:rsidRPr="009D0FAF">
              <w:rPr>
                <w:rFonts w:ascii="Century Gothic" w:hAnsi="Century Gothic"/>
                <w:sz w:val="20"/>
                <w:szCs w:val="20"/>
                <w:lang w:val="fr-FR"/>
              </w:rPr>
              <w:t xml:space="preserve">Le renforcement de l’engagement du secteur financier en soutien aux investissements des MER par la mise en place de la Facilité d’Investissement Rural (FIR). </w:t>
            </w:r>
          </w:p>
          <w:p w:rsidR="00CF62A4" w:rsidRPr="0031325D" w:rsidRDefault="00CF62A4" w:rsidP="006E1ABB">
            <w:pPr>
              <w:ind w:left="1776"/>
              <w:rPr>
                <w:sz w:val="22"/>
                <w:szCs w:val="22"/>
                <w:lang w:val="fr-FR" w:eastAsia="en-US"/>
              </w:rPr>
            </w:pPr>
          </w:p>
          <w:p w:rsidR="00CF62A4" w:rsidRDefault="00CF62A4" w:rsidP="006E1ABB">
            <w:pPr>
              <w:pStyle w:val="Titre3"/>
              <w:numPr>
                <w:ilvl w:val="0"/>
                <w:numId w:val="0"/>
              </w:numPr>
              <w:rPr>
                <w:b/>
                <w:iCs/>
                <w:szCs w:val="22"/>
              </w:rPr>
            </w:pPr>
            <w:r w:rsidRPr="009D0FAF">
              <w:rPr>
                <w:b/>
                <w:bCs/>
                <w:iCs/>
                <w:szCs w:val="22"/>
                <w:u w:val="single"/>
              </w:rPr>
              <w:t>Sous composante 2</w:t>
            </w:r>
            <w:r w:rsidRPr="009D0FAF">
              <w:rPr>
                <w:b/>
                <w:iCs/>
                <w:szCs w:val="22"/>
              </w:rPr>
              <w:t> : Outils de gestion des risques</w:t>
            </w:r>
          </w:p>
          <w:p w:rsidR="009D0FAF" w:rsidRPr="009D0FAF" w:rsidRDefault="009D0FAF" w:rsidP="009D0FAF">
            <w:pPr>
              <w:rPr>
                <w:rFonts w:ascii="Arial" w:hAnsi="Arial"/>
                <w:lang w:val="fr-FR" w:eastAsia="en-US"/>
              </w:rPr>
            </w:pPr>
          </w:p>
          <w:p w:rsidR="009D0FAF" w:rsidRPr="009D0FAF" w:rsidRDefault="009D0FAF" w:rsidP="006247B1">
            <w:pPr>
              <w:numPr>
                <w:ilvl w:val="0"/>
                <w:numId w:val="5"/>
              </w:numPr>
              <w:tabs>
                <w:tab w:val="clear" w:pos="720"/>
              </w:tabs>
              <w:ind w:left="567" w:right="32" w:hanging="567"/>
              <w:jc w:val="both"/>
              <w:rPr>
                <w:rFonts w:ascii="Century Gothic" w:hAnsi="Century Gothic"/>
                <w:sz w:val="20"/>
                <w:szCs w:val="20"/>
                <w:lang w:val="fr-FR"/>
              </w:rPr>
            </w:pPr>
            <w:r w:rsidRPr="009D0FAF">
              <w:rPr>
                <w:rFonts w:ascii="Century Gothic" w:hAnsi="Century Gothic"/>
                <w:sz w:val="20"/>
                <w:szCs w:val="20"/>
                <w:lang w:val="fr-FR"/>
              </w:rPr>
              <w:t xml:space="preserve">L’appui du Programme à l’opérationnalisation du groupe de réflexion sur les financements agricoles et ruraux pour la mise à disposition d’une politique et des stratégies adaptées aux financements agricoles et rurales ; </w:t>
            </w:r>
          </w:p>
          <w:p w:rsidR="009D0FAF" w:rsidRPr="00371079" w:rsidRDefault="009D0FAF" w:rsidP="009D0FAF">
            <w:pPr>
              <w:pStyle w:val="Paragraphedeliste"/>
              <w:spacing w:after="0" w:line="240" w:lineRule="auto"/>
              <w:ind w:left="426"/>
              <w:jc w:val="both"/>
              <w:rPr>
                <w:rFonts w:ascii="Century Gothic" w:hAnsi="Century Gothic"/>
                <w:sz w:val="20"/>
                <w:szCs w:val="20"/>
              </w:rPr>
            </w:pPr>
          </w:p>
          <w:p w:rsidR="009D0FAF" w:rsidRPr="009D0FAF" w:rsidRDefault="009D0FAF" w:rsidP="006247B1">
            <w:pPr>
              <w:numPr>
                <w:ilvl w:val="0"/>
                <w:numId w:val="5"/>
              </w:numPr>
              <w:tabs>
                <w:tab w:val="clear" w:pos="720"/>
              </w:tabs>
              <w:ind w:left="567" w:right="32" w:hanging="567"/>
              <w:jc w:val="both"/>
              <w:rPr>
                <w:rFonts w:ascii="Century Gothic" w:hAnsi="Century Gothic"/>
                <w:sz w:val="20"/>
                <w:szCs w:val="20"/>
                <w:lang w:val="fr-FR"/>
              </w:rPr>
            </w:pPr>
            <w:r w:rsidRPr="009D0FAF">
              <w:rPr>
                <w:rFonts w:ascii="Century Gothic" w:hAnsi="Century Gothic"/>
                <w:sz w:val="20"/>
                <w:szCs w:val="20"/>
                <w:lang w:val="fr-FR"/>
              </w:rPr>
              <w:lastRenderedPageBreak/>
              <w:t xml:space="preserve">La réduction des risques d’impayé supportés  par les établissements financiers sur leur portefeuille de crédits octroyés à des MER/PER par la mise en place de la Facilité de Partage de Risques (FPR) ; et </w:t>
            </w:r>
          </w:p>
          <w:p w:rsidR="009D0FAF" w:rsidRPr="00371079" w:rsidRDefault="009D0FAF" w:rsidP="009D0FAF">
            <w:pPr>
              <w:pStyle w:val="Paragraphedeliste"/>
              <w:spacing w:after="0" w:line="240" w:lineRule="auto"/>
              <w:ind w:left="0"/>
              <w:jc w:val="both"/>
              <w:rPr>
                <w:rFonts w:ascii="Century Gothic" w:hAnsi="Century Gothic"/>
                <w:sz w:val="20"/>
                <w:szCs w:val="20"/>
              </w:rPr>
            </w:pPr>
          </w:p>
          <w:p w:rsidR="009D0FAF" w:rsidRPr="009D0FAF" w:rsidRDefault="009D0FAF" w:rsidP="00C25655">
            <w:pPr>
              <w:numPr>
                <w:ilvl w:val="0"/>
                <w:numId w:val="5"/>
              </w:numPr>
              <w:tabs>
                <w:tab w:val="clear" w:pos="720"/>
              </w:tabs>
              <w:ind w:left="567" w:right="32" w:hanging="567"/>
              <w:jc w:val="both"/>
              <w:rPr>
                <w:rFonts w:ascii="Century Gothic" w:hAnsi="Century Gothic"/>
                <w:sz w:val="20"/>
                <w:szCs w:val="20"/>
                <w:lang w:val="fr-FR"/>
              </w:rPr>
            </w:pPr>
            <w:r w:rsidRPr="009D0FAF">
              <w:rPr>
                <w:rFonts w:ascii="Century Gothic" w:hAnsi="Century Gothic"/>
                <w:sz w:val="20"/>
                <w:szCs w:val="20"/>
                <w:lang w:val="fr-FR"/>
              </w:rPr>
              <w:t>La réduction des risques de perte d’exploitation encourus par les MER/PER par la mise en place de micro-assurances (FAPEX).</w:t>
            </w:r>
          </w:p>
          <w:p w:rsidR="00C25655" w:rsidRDefault="00C25655" w:rsidP="00C25655">
            <w:pPr>
              <w:pStyle w:val="Titre8"/>
              <w:spacing w:before="0" w:after="0"/>
              <w:rPr>
                <w:b/>
                <w:bCs/>
                <w:i w:val="0"/>
                <w:sz w:val="22"/>
                <w:szCs w:val="22"/>
                <w:lang w:val="fr-FR"/>
              </w:rPr>
            </w:pPr>
          </w:p>
          <w:p w:rsidR="00CF62A4" w:rsidRPr="00384367" w:rsidRDefault="00CF62A4" w:rsidP="00C25655">
            <w:pPr>
              <w:pStyle w:val="Titre8"/>
              <w:spacing w:before="0" w:after="0"/>
              <w:rPr>
                <w:b/>
                <w:bCs/>
                <w:i w:val="0"/>
                <w:sz w:val="22"/>
                <w:szCs w:val="22"/>
                <w:lang w:val="fr-FR"/>
              </w:rPr>
            </w:pPr>
            <w:r w:rsidRPr="00384367">
              <w:rPr>
                <w:b/>
                <w:bCs/>
                <w:i w:val="0"/>
                <w:sz w:val="22"/>
                <w:szCs w:val="22"/>
                <w:lang w:val="fr-FR"/>
              </w:rPr>
              <w:t>C</w:t>
            </w:r>
            <w:r w:rsidR="005D3F08" w:rsidRPr="00384367">
              <w:rPr>
                <w:b/>
                <w:bCs/>
                <w:i w:val="0"/>
                <w:sz w:val="22"/>
                <w:szCs w:val="22"/>
                <w:lang w:val="fr-FR"/>
              </w:rPr>
              <w:t xml:space="preserve">OMPOSANTE </w:t>
            </w:r>
            <w:r w:rsidRPr="00384367">
              <w:rPr>
                <w:b/>
                <w:bCs/>
                <w:i w:val="0"/>
                <w:sz w:val="22"/>
                <w:szCs w:val="22"/>
                <w:lang w:val="fr-FR"/>
              </w:rPr>
              <w:t xml:space="preserve"> 4 - INFRASTRUCTURES DE MARCHE ET INVESTISSEMENTS STRUCTURANTS</w:t>
            </w:r>
          </w:p>
          <w:p w:rsidR="00CF62A4" w:rsidRPr="0096735C" w:rsidRDefault="00CF62A4" w:rsidP="005D3F08">
            <w:pPr>
              <w:jc w:val="both"/>
              <w:rPr>
                <w:sz w:val="22"/>
                <w:szCs w:val="22"/>
                <w:lang w:val="fr-FR"/>
              </w:rPr>
            </w:pPr>
            <w:r w:rsidRPr="00EC0748">
              <w:rPr>
                <w:b/>
                <w:bCs/>
                <w:i/>
                <w:iCs/>
                <w:szCs w:val="22"/>
                <w:lang w:val="fr-FR"/>
              </w:rPr>
              <w:t xml:space="preserve"> </w:t>
            </w:r>
            <w:r>
              <w:rPr>
                <w:b/>
                <w:bCs/>
                <w:i/>
                <w:iCs/>
                <w:szCs w:val="22"/>
                <w:lang w:val="fr-FR"/>
              </w:rPr>
              <w:t xml:space="preserve">  </w:t>
            </w:r>
            <w:r w:rsidRPr="00EC0748">
              <w:rPr>
                <w:b/>
                <w:bCs/>
                <w:i/>
                <w:iCs/>
                <w:szCs w:val="22"/>
                <w:lang w:val="fr-FR"/>
              </w:rPr>
              <w:t xml:space="preserve"> </w:t>
            </w:r>
          </w:p>
          <w:p w:rsidR="00CF62A4" w:rsidRDefault="00CF62A4" w:rsidP="006E1ABB">
            <w:pPr>
              <w:rPr>
                <w:b/>
                <w:i/>
                <w:sz w:val="22"/>
                <w:szCs w:val="22"/>
                <w:lang w:val="fr-FR"/>
              </w:rPr>
            </w:pPr>
            <w:r w:rsidRPr="005D3F08">
              <w:rPr>
                <w:b/>
                <w:bCs/>
                <w:i/>
                <w:sz w:val="22"/>
                <w:szCs w:val="22"/>
                <w:u w:val="single"/>
                <w:lang w:val="fr-FR"/>
              </w:rPr>
              <w:t>Sous composante 1</w:t>
            </w:r>
            <w:r w:rsidRPr="005D3F08">
              <w:rPr>
                <w:b/>
                <w:i/>
                <w:sz w:val="22"/>
                <w:szCs w:val="22"/>
                <w:lang w:val="fr-FR"/>
              </w:rPr>
              <w:t> : Infrastructures publiques</w:t>
            </w:r>
          </w:p>
          <w:p w:rsidR="00384367" w:rsidRPr="005D3F08" w:rsidRDefault="00384367" w:rsidP="006E1ABB">
            <w:pPr>
              <w:rPr>
                <w:b/>
                <w:i/>
                <w:sz w:val="22"/>
                <w:szCs w:val="22"/>
                <w:lang w:val="fr-FR"/>
              </w:rPr>
            </w:pPr>
          </w:p>
          <w:p w:rsidR="00384367" w:rsidRDefault="00384367" w:rsidP="006247B1">
            <w:pPr>
              <w:numPr>
                <w:ilvl w:val="0"/>
                <w:numId w:val="5"/>
              </w:numPr>
              <w:tabs>
                <w:tab w:val="clear" w:pos="720"/>
              </w:tabs>
              <w:ind w:left="567" w:right="32" w:hanging="567"/>
              <w:jc w:val="both"/>
              <w:rPr>
                <w:rFonts w:ascii="Century Gothic" w:hAnsi="Century Gothic"/>
                <w:sz w:val="20"/>
                <w:szCs w:val="20"/>
                <w:lang w:val="fr-FR"/>
              </w:rPr>
            </w:pPr>
            <w:r w:rsidRPr="00384367">
              <w:rPr>
                <w:rFonts w:ascii="Century Gothic" w:hAnsi="Century Gothic"/>
                <w:sz w:val="20"/>
                <w:szCs w:val="20"/>
                <w:lang w:val="fr-FR"/>
              </w:rPr>
              <w:t xml:space="preserve">La réalisation des travaux de réhabilitation de 16 kilomètres de piste; </w:t>
            </w:r>
          </w:p>
          <w:p w:rsidR="00384367" w:rsidRPr="00384367" w:rsidRDefault="00384367" w:rsidP="00384367">
            <w:pPr>
              <w:ind w:left="567" w:right="32"/>
              <w:jc w:val="both"/>
              <w:rPr>
                <w:rFonts w:ascii="Century Gothic" w:hAnsi="Century Gothic"/>
                <w:sz w:val="20"/>
                <w:szCs w:val="20"/>
                <w:lang w:val="fr-FR"/>
              </w:rPr>
            </w:pPr>
          </w:p>
          <w:p w:rsidR="00384367" w:rsidRDefault="00384367" w:rsidP="006247B1">
            <w:pPr>
              <w:numPr>
                <w:ilvl w:val="0"/>
                <w:numId w:val="5"/>
              </w:numPr>
              <w:tabs>
                <w:tab w:val="clear" w:pos="720"/>
              </w:tabs>
              <w:ind w:left="567" w:right="32" w:hanging="567"/>
              <w:jc w:val="both"/>
              <w:rPr>
                <w:rFonts w:ascii="Century Gothic" w:hAnsi="Century Gothic"/>
                <w:sz w:val="20"/>
                <w:szCs w:val="20"/>
                <w:lang w:val="fr-FR"/>
              </w:rPr>
            </w:pPr>
            <w:r w:rsidRPr="00384367">
              <w:rPr>
                <w:rFonts w:ascii="Century Gothic" w:hAnsi="Century Gothic"/>
                <w:sz w:val="20"/>
                <w:szCs w:val="20"/>
                <w:lang w:val="fr-FR"/>
              </w:rPr>
              <w:t>La réhabilitation des ouvrages reliant en tous 141 kilomètres de piste ;</w:t>
            </w:r>
          </w:p>
          <w:p w:rsidR="00384367" w:rsidRPr="00384367" w:rsidRDefault="00384367" w:rsidP="00384367">
            <w:pPr>
              <w:ind w:right="32"/>
              <w:jc w:val="both"/>
              <w:rPr>
                <w:rFonts w:ascii="Century Gothic" w:hAnsi="Century Gothic"/>
                <w:sz w:val="20"/>
                <w:szCs w:val="20"/>
                <w:lang w:val="fr-FR"/>
              </w:rPr>
            </w:pPr>
          </w:p>
          <w:p w:rsidR="00384367" w:rsidRPr="00384367" w:rsidRDefault="00384367" w:rsidP="006247B1">
            <w:pPr>
              <w:numPr>
                <w:ilvl w:val="0"/>
                <w:numId w:val="5"/>
              </w:numPr>
              <w:tabs>
                <w:tab w:val="clear" w:pos="720"/>
              </w:tabs>
              <w:ind w:left="567" w:right="32" w:hanging="567"/>
              <w:jc w:val="both"/>
              <w:rPr>
                <w:rFonts w:ascii="Century Gothic" w:hAnsi="Century Gothic"/>
                <w:sz w:val="20"/>
                <w:szCs w:val="20"/>
                <w:lang w:val="fr-FR"/>
              </w:rPr>
            </w:pPr>
            <w:r w:rsidRPr="00384367">
              <w:rPr>
                <w:rFonts w:ascii="Century Gothic" w:hAnsi="Century Gothic"/>
                <w:sz w:val="20"/>
                <w:szCs w:val="20"/>
                <w:lang w:val="fr-FR"/>
              </w:rPr>
              <w:t>L’exécution du travaux de mise en place d’un puits  gravitaire.</w:t>
            </w:r>
          </w:p>
          <w:p w:rsidR="00CF62A4" w:rsidRPr="00903D6D" w:rsidRDefault="00CF62A4" w:rsidP="006E1ABB">
            <w:pPr>
              <w:ind w:left="1776"/>
              <w:rPr>
                <w:sz w:val="22"/>
                <w:szCs w:val="22"/>
                <w:lang w:val="fr-FR" w:eastAsia="en-US"/>
              </w:rPr>
            </w:pPr>
          </w:p>
          <w:p w:rsidR="00CF62A4" w:rsidRDefault="00CF62A4" w:rsidP="006E1ABB">
            <w:pPr>
              <w:rPr>
                <w:b/>
                <w:i/>
                <w:sz w:val="22"/>
                <w:szCs w:val="22"/>
                <w:lang w:val="fr-FR"/>
              </w:rPr>
            </w:pPr>
            <w:r w:rsidRPr="005D3F08">
              <w:rPr>
                <w:b/>
                <w:bCs/>
                <w:i/>
                <w:sz w:val="22"/>
                <w:szCs w:val="22"/>
                <w:u w:val="single"/>
                <w:lang w:val="fr-FR"/>
              </w:rPr>
              <w:t>Sous composante 2</w:t>
            </w:r>
            <w:r w:rsidRPr="005D3F08">
              <w:rPr>
                <w:b/>
                <w:i/>
                <w:sz w:val="22"/>
                <w:szCs w:val="22"/>
                <w:lang w:val="fr-FR"/>
              </w:rPr>
              <w:t> : Investissements collectifs de soutien aux filières</w:t>
            </w:r>
          </w:p>
          <w:p w:rsidR="00384367" w:rsidRPr="005D3F08" w:rsidRDefault="00384367" w:rsidP="006E1ABB">
            <w:pPr>
              <w:rPr>
                <w:b/>
                <w:i/>
                <w:sz w:val="22"/>
                <w:szCs w:val="22"/>
                <w:lang w:val="fr-FR" w:eastAsia="en-US"/>
              </w:rPr>
            </w:pPr>
          </w:p>
          <w:p w:rsidR="00384367" w:rsidRDefault="00384367" w:rsidP="006247B1">
            <w:pPr>
              <w:numPr>
                <w:ilvl w:val="0"/>
                <w:numId w:val="5"/>
              </w:numPr>
              <w:tabs>
                <w:tab w:val="clear" w:pos="720"/>
              </w:tabs>
              <w:ind w:left="567" w:right="32" w:hanging="567"/>
              <w:jc w:val="both"/>
              <w:rPr>
                <w:rFonts w:ascii="Century Gothic" w:hAnsi="Century Gothic"/>
                <w:sz w:val="20"/>
                <w:szCs w:val="20"/>
                <w:lang w:val="fr-FR"/>
              </w:rPr>
            </w:pPr>
            <w:r w:rsidRPr="00384367">
              <w:rPr>
                <w:rFonts w:ascii="Century Gothic" w:hAnsi="Century Gothic"/>
                <w:sz w:val="20"/>
                <w:szCs w:val="20"/>
                <w:lang w:val="fr-FR"/>
              </w:rPr>
              <w:t>L’exécution du travaux d’aménagement d’une boutique d’intrants mis en place ;</w:t>
            </w:r>
          </w:p>
          <w:p w:rsidR="00384367" w:rsidRPr="00384367" w:rsidRDefault="00384367" w:rsidP="00384367">
            <w:pPr>
              <w:ind w:left="567" w:right="32"/>
              <w:jc w:val="both"/>
              <w:rPr>
                <w:rFonts w:ascii="Century Gothic" w:hAnsi="Century Gothic"/>
                <w:sz w:val="20"/>
                <w:szCs w:val="20"/>
                <w:lang w:val="fr-FR"/>
              </w:rPr>
            </w:pPr>
          </w:p>
          <w:p w:rsidR="00384367" w:rsidRDefault="00384367" w:rsidP="006247B1">
            <w:pPr>
              <w:numPr>
                <w:ilvl w:val="0"/>
                <w:numId w:val="5"/>
              </w:numPr>
              <w:tabs>
                <w:tab w:val="clear" w:pos="720"/>
              </w:tabs>
              <w:ind w:left="567" w:right="32" w:hanging="567"/>
              <w:jc w:val="both"/>
              <w:rPr>
                <w:rFonts w:ascii="Century Gothic" w:hAnsi="Century Gothic"/>
                <w:sz w:val="20"/>
                <w:szCs w:val="20"/>
                <w:lang w:val="fr-FR"/>
              </w:rPr>
            </w:pPr>
            <w:r w:rsidRPr="00384367">
              <w:rPr>
                <w:rFonts w:ascii="Century Gothic" w:hAnsi="Century Gothic"/>
                <w:sz w:val="20"/>
                <w:szCs w:val="20"/>
                <w:lang w:val="fr-FR"/>
              </w:rPr>
              <w:t>L’exécution des travaux de construction de neuf (09) pavillons de vente ;</w:t>
            </w:r>
          </w:p>
          <w:p w:rsidR="00384367" w:rsidRPr="00384367" w:rsidRDefault="00384367" w:rsidP="00384367">
            <w:pPr>
              <w:ind w:right="32"/>
              <w:jc w:val="both"/>
              <w:rPr>
                <w:rFonts w:ascii="Century Gothic" w:hAnsi="Century Gothic"/>
                <w:sz w:val="20"/>
                <w:szCs w:val="20"/>
                <w:lang w:val="fr-FR"/>
              </w:rPr>
            </w:pPr>
          </w:p>
          <w:p w:rsidR="00384367" w:rsidRDefault="00384367" w:rsidP="006247B1">
            <w:pPr>
              <w:numPr>
                <w:ilvl w:val="0"/>
                <w:numId w:val="5"/>
              </w:numPr>
              <w:tabs>
                <w:tab w:val="clear" w:pos="720"/>
              </w:tabs>
              <w:ind w:left="567" w:right="32" w:hanging="567"/>
              <w:jc w:val="both"/>
              <w:rPr>
                <w:rFonts w:ascii="Century Gothic" w:hAnsi="Century Gothic"/>
                <w:sz w:val="20"/>
                <w:szCs w:val="20"/>
                <w:lang w:val="fr-FR"/>
              </w:rPr>
            </w:pPr>
            <w:r w:rsidRPr="00384367">
              <w:rPr>
                <w:rFonts w:ascii="Century Gothic" w:hAnsi="Century Gothic"/>
                <w:sz w:val="20"/>
                <w:szCs w:val="20"/>
                <w:lang w:val="fr-FR"/>
              </w:rPr>
              <w:t>L’exécution des travaux de construction de quatre (04) magasins de stockage;</w:t>
            </w:r>
          </w:p>
          <w:p w:rsidR="00384367" w:rsidRPr="00384367" w:rsidRDefault="00384367" w:rsidP="00384367">
            <w:pPr>
              <w:ind w:right="32"/>
              <w:jc w:val="both"/>
              <w:rPr>
                <w:rFonts w:ascii="Century Gothic" w:hAnsi="Century Gothic"/>
                <w:sz w:val="20"/>
                <w:szCs w:val="20"/>
                <w:lang w:val="fr-FR"/>
              </w:rPr>
            </w:pPr>
          </w:p>
          <w:p w:rsidR="00384367" w:rsidRDefault="00384367" w:rsidP="006247B1">
            <w:pPr>
              <w:numPr>
                <w:ilvl w:val="0"/>
                <w:numId w:val="5"/>
              </w:numPr>
              <w:tabs>
                <w:tab w:val="clear" w:pos="720"/>
              </w:tabs>
              <w:ind w:left="567" w:right="32" w:hanging="567"/>
              <w:jc w:val="both"/>
              <w:rPr>
                <w:rFonts w:ascii="Century Gothic" w:hAnsi="Century Gothic"/>
                <w:sz w:val="20"/>
                <w:szCs w:val="20"/>
                <w:lang w:val="fr-FR"/>
              </w:rPr>
            </w:pPr>
            <w:r w:rsidRPr="00384367">
              <w:rPr>
                <w:rFonts w:ascii="Century Gothic" w:hAnsi="Century Gothic"/>
                <w:sz w:val="20"/>
                <w:szCs w:val="20"/>
                <w:lang w:val="fr-FR"/>
              </w:rPr>
              <w:t>L’exécution des travaux de mis en place d’un (01) centre de multiplication de plants;</w:t>
            </w:r>
          </w:p>
          <w:p w:rsidR="00384367" w:rsidRPr="00384367" w:rsidRDefault="00384367" w:rsidP="00384367">
            <w:pPr>
              <w:ind w:right="32"/>
              <w:jc w:val="both"/>
              <w:rPr>
                <w:rFonts w:ascii="Century Gothic" w:hAnsi="Century Gothic"/>
                <w:sz w:val="20"/>
                <w:szCs w:val="20"/>
                <w:lang w:val="fr-FR"/>
              </w:rPr>
            </w:pPr>
          </w:p>
          <w:p w:rsidR="00384367" w:rsidRPr="00384367" w:rsidRDefault="00384367" w:rsidP="006247B1">
            <w:pPr>
              <w:numPr>
                <w:ilvl w:val="0"/>
                <w:numId w:val="5"/>
              </w:numPr>
              <w:tabs>
                <w:tab w:val="clear" w:pos="720"/>
              </w:tabs>
              <w:ind w:left="567" w:right="32" w:hanging="567"/>
              <w:jc w:val="both"/>
              <w:rPr>
                <w:rFonts w:ascii="Century Gothic" w:hAnsi="Century Gothic"/>
                <w:sz w:val="20"/>
                <w:szCs w:val="20"/>
                <w:lang w:val="fr-FR"/>
              </w:rPr>
            </w:pPr>
            <w:r w:rsidRPr="00384367">
              <w:rPr>
                <w:rFonts w:ascii="Century Gothic" w:hAnsi="Century Gothic"/>
                <w:sz w:val="20"/>
                <w:szCs w:val="20"/>
                <w:lang w:val="fr-FR"/>
              </w:rPr>
              <w:t xml:space="preserve">L’exécution du travaux de construction d’un (01) centre polyvalent d’affaire. </w:t>
            </w:r>
          </w:p>
          <w:p w:rsidR="00CF62A4" w:rsidRPr="00384367" w:rsidRDefault="00CF62A4" w:rsidP="00384367">
            <w:pPr>
              <w:ind w:left="567" w:right="32"/>
              <w:jc w:val="both"/>
              <w:rPr>
                <w:rFonts w:ascii="Century Gothic" w:hAnsi="Century Gothic"/>
                <w:sz w:val="20"/>
                <w:szCs w:val="20"/>
                <w:lang w:val="fr-FR"/>
              </w:rPr>
            </w:pPr>
          </w:p>
          <w:p w:rsidR="00CF62A4" w:rsidRPr="00384367" w:rsidRDefault="00CF62A4" w:rsidP="006E1ABB">
            <w:pPr>
              <w:pStyle w:val="Titre2"/>
              <w:spacing w:before="0" w:after="0"/>
              <w:ind w:left="720" w:hanging="720"/>
              <w:jc w:val="both"/>
              <w:rPr>
                <w:rFonts w:ascii="Times New Roman" w:hAnsi="Times New Roman" w:cs="Times New Roman"/>
                <w:i w:val="0"/>
                <w:iCs w:val="0"/>
                <w:sz w:val="22"/>
                <w:szCs w:val="22"/>
              </w:rPr>
            </w:pPr>
            <w:r w:rsidRPr="00384367">
              <w:rPr>
                <w:rFonts w:ascii="Times New Roman" w:hAnsi="Times New Roman" w:cs="Times New Roman"/>
                <w:i w:val="0"/>
                <w:iCs w:val="0"/>
                <w:sz w:val="22"/>
                <w:szCs w:val="22"/>
              </w:rPr>
              <w:t>C</w:t>
            </w:r>
            <w:r w:rsidR="00384367" w:rsidRPr="00384367">
              <w:rPr>
                <w:rFonts w:ascii="Times New Roman" w:hAnsi="Times New Roman" w:cs="Times New Roman"/>
                <w:i w:val="0"/>
                <w:iCs w:val="0"/>
                <w:sz w:val="22"/>
                <w:szCs w:val="22"/>
              </w:rPr>
              <w:t>OMPOSANTE</w:t>
            </w:r>
            <w:r w:rsidRPr="00384367">
              <w:rPr>
                <w:rFonts w:ascii="Times New Roman" w:hAnsi="Times New Roman" w:cs="Times New Roman"/>
                <w:i w:val="0"/>
                <w:iCs w:val="0"/>
                <w:sz w:val="22"/>
                <w:szCs w:val="22"/>
              </w:rPr>
              <w:t xml:space="preserve"> 5 : SUIVI-EVALUATION, CAPITALISATION ET COMMUNICATION</w:t>
            </w:r>
          </w:p>
          <w:p w:rsidR="00384367" w:rsidRDefault="00384367" w:rsidP="006E1ABB">
            <w:pPr>
              <w:pStyle w:val="Titre3"/>
              <w:numPr>
                <w:ilvl w:val="0"/>
                <w:numId w:val="0"/>
              </w:numPr>
              <w:rPr>
                <w:b/>
                <w:bCs/>
                <w:iCs/>
                <w:szCs w:val="22"/>
                <w:u w:val="single"/>
                <w:lang w:val="fr-BE"/>
              </w:rPr>
            </w:pPr>
          </w:p>
          <w:p w:rsidR="00CF62A4" w:rsidRDefault="00CF62A4" w:rsidP="006E1ABB">
            <w:pPr>
              <w:pStyle w:val="Titre3"/>
              <w:numPr>
                <w:ilvl w:val="0"/>
                <w:numId w:val="0"/>
              </w:numPr>
              <w:rPr>
                <w:b/>
                <w:iCs/>
                <w:szCs w:val="22"/>
                <w:lang w:val="fr-BE"/>
              </w:rPr>
            </w:pPr>
            <w:r w:rsidRPr="00384367">
              <w:rPr>
                <w:b/>
                <w:bCs/>
                <w:iCs/>
                <w:szCs w:val="22"/>
                <w:u w:val="single"/>
                <w:lang w:val="fr-BE"/>
              </w:rPr>
              <w:t>Sous composante 1</w:t>
            </w:r>
            <w:r w:rsidRPr="00384367">
              <w:rPr>
                <w:b/>
                <w:iCs/>
                <w:szCs w:val="22"/>
                <w:lang w:val="fr-BE"/>
              </w:rPr>
              <w:t> : Planification et Suivi-évaluation</w:t>
            </w:r>
          </w:p>
          <w:p w:rsidR="00404CA1" w:rsidRPr="00404CA1" w:rsidRDefault="00404CA1" w:rsidP="00404CA1">
            <w:pPr>
              <w:rPr>
                <w:rFonts w:ascii="Arial" w:hAnsi="Arial"/>
                <w:lang w:val="fr-BE" w:eastAsia="en-US"/>
              </w:rPr>
            </w:pPr>
          </w:p>
          <w:p w:rsidR="00404CA1" w:rsidRPr="00267C48" w:rsidRDefault="00404CA1" w:rsidP="006247B1">
            <w:pPr>
              <w:numPr>
                <w:ilvl w:val="0"/>
                <w:numId w:val="5"/>
              </w:numPr>
              <w:tabs>
                <w:tab w:val="clear" w:pos="720"/>
              </w:tabs>
              <w:ind w:left="567" w:right="32" w:hanging="567"/>
              <w:jc w:val="both"/>
              <w:rPr>
                <w:rFonts w:ascii="Century Gothic" w:hAnsi="Century Gothic"/>
                <w:sz w:val="20"/>
                <w:szCs w:val="20"/>
                <w:lang w:val="fr-FR"/>
              </w:rPr>
            </w:pPr>
            <w:r w:rsidRPr="00267C48">
              <w:rPr>
                <w:rFonts w:ascii="Century Gothic" w:hAnsi="Century Gothic"/>
                <w:sz w:val="20"/>
                <w:szCs w:val="20"/>
                <w:lang w:val="fr-FR"/>
              </w:rPr>
              <w:t>L’opérationnalisation du  Système de SE au niveau de l’EPN, des EPRs et des IF ;</w:t>
            </w:r>
          </w:p>
          <w:p w:rsidR="00404CA1" w:rsidRPr="00920D70" w:rsidRDefault="00404CA1" w:rsidP="00404CA1">
            <w:pPr>
              <w:jc w:val="both"/>
              <w:rPr>
                <w:rFonts w:ascii="Century Gothic" w:hAnsi="Century Gothic"/>
                <w:sz w:val="20"/>
                <w:szCs w:val="20"/>
                <w:lang w:val="fr-BE"/>
              </w:rPr>
            </w:pPr>
          </w:p>
          <w:p w:rsidR="00404CA1" w:rsidRPr="00267C48" w:rsidRDefault="00404CA1" w:rsidP="006247B1">
            <w:pPr>
              <w:numPr>
                <w:ilvl w:val="0"/>
                <w:numId w:val="5"/>
              </w:numPr>
              <w:tabs>
                <w:tab w:val="clear" w:pos="720"/>
              </w:tabs>
              <w:ind w:left="567" w:right="32" w:hanging="567"/>
              <w:jc w:val="both"/>
              <w:rPr>
                <w:rFonts w:ascii="Century Gothic" w:hAnsi="Century Gothic"/>
                <w:sz w:val="20"/>
                <w:szCs w:val="20"/>
                <w:lang w:val="fr-FR"/>
              </w:rPr>
            </w:pPr>
            <w:r w:rsidRPr="00267C48">
              <w:rPr>
                <w:rFonts w:ascii="Century Gothic" w:hAnsi="Century Gothic"/>
                <w:sz w:val="20"/>
                <w:szCs w:val="20"/>
                <w:lang w:val="fr-FR"/>
              </w:rPr>
              <w:t>Le renforcement des capacités de personnel sur des thèmes ciblés.</w:t>
            </w:r>
          </w:p>
          <w:p w:rsidR="00404CA1" w:rsidRDefault="00404CA1" w:rsidP="00404CA1">
            <w:pPr>
              <w:jc w:val="both"/>
              <w:rPr>
                <w:rFonts w:ascii="Century Gothic" w:hAnsi="Century Gothic"/>
                <w:sz w:val="20"/>
                <w:szCs w:val="20"/>
                <w:lang w:val="fr-BE"/>
              </w:rPr>
            </w:pPr>
          </w:p>
          <w:p w:rsidR="00CF62A4" w:rsidRDefault="00CF62A4" w:rsidP="006E1ABB">
            <w:pPr>
              <w:rPr>
                <w:b/>
                <w:i/>
                <w:sz w:val="22"/>
                <w:szCs w:val="22"/>
                <w:lang w:val="fr-FR"/>
              </w:rPr>
            </w:pPr>
            <w:r w:rsidRPr="00404CA1">
              <w:rPr>
                <w:b/>
                <w:bCs/>
                <w:i/>
                <w:sz w:val="22"/>
                <w:szCs w:val="22"/>
                <w:u w:val="single"/>
                <w:lang w:val="fr-FR"/>
              </w:rPr>
              <w:t>Sous composante 2</w:t>
            </w:r>
            <w:r w:rsidRPr="00404CA1">
              <w:rPr>
                <w:b/>
                <w:i/>
                <w:sz w:val="22"/>
                <w:szCs w:val="22"/>
                <w:lang w:val="fr-FR"/>
              </w:rPr>
              <w:t> : Capitalisation de savoirs et communication</w:t>
            </w:r>
          </w:p>
          <w:p w:rsidR="00267C48" w:rsidRPr="00404CA1" w:rsidRDefault="00267C48" w:rsidP="006E1ABB">
            <w:pPr>
              <w:rPr>
                <w:b/>
                <w:i/>
                <w:sz w:val="22"/>
                <w:szCs w:val="22"/>
                <w:lang w:val="fr-FR"/>
              </w:rPr>
            </w:pPr>
          </w:p>
          <w:p w:rsidR="00267C48" w:rsidRPr="00267C48" w:rsidRDefault="00267C48" w:rsidP="006247B1">
            <w:pPr>
              <w:numPr>
                <w:ilvl w:val="0"/>
                <w:numId w:val="5"/>
              </w:numPr>
              <w:tabs>
                <w:tab w:val="clear" w:pos="720"/>
              </w:tabs>
              <w:ind w:left="567" w:right="32" w:hanging="567"/>
              <w:jc w:val="both"/>
              <w:rPr>
                <w:rFonts w:ascii="Century Gothic" w:hAnsi="Century Gothic"/>
                <w:sz w:val="20"/>
                <w:szCs w:val="20"/>
                <w:lang w:val="fr-FR"/>
              </w:rPr>
            </w:pPr>
            <w:r w:rsidRPr="00267C48">
              <w:rPr>
                <w:rFonts w:ascii="Century Gothic" w:hAnsi="Century Gothic"/>
                <w:sz w:val="20"/>
                <w:szCs w:val="20"/>
                <w:lang w:val="fr-FR"/>
              </w:rPr>
              <w:t xml:space="preserve">La mise en œuvre du plan de communication et le développement des outils de communication en milieu rural; </w:t>
            </w:r>
          </w:p>
          <w:p w:rsidR="00267C48" w:rsidRPr="00920D70" w:rsidRDefault="00267C48" w:rsidP="00267C48">
            <w:pPr>
              <w:jc w:val="both"/>
              <w:rPr>
                <w:rFonts w:ascii="Century Gothic" w:hAnsi="Century Gothic"/>
                <w:sz w:val="20"/>
                <w:szCs w:val="20"/>
                <w:lang w:val="fr-BE"/>
              </w:rPr>
            </w:pPr>
          </w:p>
          <w:p w:rsidR="00267C48" w:rsidRDefault="00267C48" w:rsidP="006247B1">
            <w:pPr>
              <w:numPr>
                <w:ilvl w:val="0"/>
                <w:numId w:val="5"/>
              </w:numPr>
              <w:tabs>
                <w:tab w:val="clear" w:pos="720"/>
              </w:tabs>
              <w:ind w:left="567" w:right="32" w:hanging="567"/>
              <w:jc w:val="both"/>
              <w:rPr>
                <w:rFonts w:ascii="Century Gothic" w:hAnsi="Century Gothic"/>
                <w:sz w:val="20"/>
                <w:szCs w:val="20"/>
                <w:lang w:val="fr-FR"/>
              </w:rPr>
            </w:pPr>
            <w:r w:rsidRPr="00267C48">
              <w:rPr>
                <w:rFonts w:ascii="Century Gothic" w:hAnsi="Century Gothic"/>
                <w:sz w:val="20"/>
                <w:szCs w:val="20"/>
                <w:lang w:val="fr-FR"/>
              </w:rPr>
              <w:t xml:space="preserve">La mise en place de Sept centres d’information régionaux (CIPE)  sont ouverts et en synergie avec les IF; </w:t>
            </w:r>
          </w:p>
          <w:p w:rsidR="00267C48" w:rsidRPr="00267C48" w:rsidRDefault="00267C48" w:rsidP="00267C48">
            <w:pPr>
              <w:ind w:right="32"/>
              <w:jc w:val="both"/>
              <w:rPr>
                <w:rFonts w:ascii="Century Gothic" w:hAnsi="Century Gothic"/>
                <w:sz w:val="20"/>
                <w:szCs w:val="20"/>
                <w:lang w:val="fr-FR"/>
              </w:rPr>
            </w:pPr>
          </w:p>
          <w:p w:rsidR="00267C48" w:rsidRPr="00267C48" w:rsidRDefault="00267C48" w:rsidP="006247B1">
            <w:pPr>
              <w:numPr>
                <w:ilvl w:val="0"/>
                <w:numId w:val="5"/>
              </w:numPr>
              <w:tabs>
                <w:tab w:val="clear" w:pos="720"/>
              </w:tabs>
              <w:ind w:left="567" w:right="32" w:hanging="567"/>
              <w:jc w:val="both"/>
              <w:rPr>
                <w:rFonts w:ascii="Century Gothic" w:hAnsi="Century Gothic"/>
                <w:sz w:val="20"/>
                <w:szCs w:val="20"/>
                <w:lang w:val="fr-FR"/>
              </w:rPr>
            </w:pPr>
            <w:r w:rsidRPr="00267C48">
              <w:rPr>
                <w:rFonts w:ascii="Century Gothic" w:hAnsi="Century Gothic"/>
                <w:sz w:val="20"/>
                <w:szCs w:val="20"/>
                <w:lang w:val="fr-FR"/>
              </w:rPr>
              <w:t>La mise en œuvre des actions de capitalisation et de gestion des savoirs.</w:t>
            </w:r>
          </w:p>
          <w:p w:rsidR="00267C48" w:rsidRPr="00267C48" w:rsidRDefault="00267C48" w:rsidP="00267C48">
            <w:pPr>
              <w:jc w:val="both"/>
              <w:rPr>
                <w:rFonts w:ascii="Century Gothic" w:hAnsi="Century Gothic"/>
                <w:sz w:val="20"/>
                <w:szCs w:val="20"/>
                <w:lang w:val="fr-FR"/>
              </w:rPr>
            </w:pPr>
          </w:p>
          <w:p w:rsidR="00CF62A4" w:rsidRPr="008459F4" w:rsidRDefault="00CF62A4" w:rsidP="00267C48">
            <w:pPr>
              <w:ind w:left="1776"/>
              <w:jc w:val="both"/>
              <w:rPr>
                <w:sz w:val="22"/>
                <w:szCs w:val="22"/>
                <w:lang w:val="fr-FR"/>
              </w:rPr>
            </w:pPr>
          </w:p>
        </w:tc>
      </w:tr>
    </w:tbl>
    <w:p w:rsidR="00C41E84" w:rsidRDefault="00C41E84">
      <w:pPr>
        <w:rPr>
          <w:rFonts w:ascii="Arial" w:hAnsi="Arial" w:cs="Arial"/>
          <w:bCs/>
          <w:sz w:val="22"/>
          <w:szCs w:val="22"/>
          <w:lang w:val="fr-FR"/>
        </w:rPr>
      </w:pPr>
    </w:p>
    <w:p w:rsidR="00C41E84" w:rsidRDefault="00C41E84" w:rsidP="00C41E84">
      <w:pPr>
        <w:jc w:val="center"/>
        <w:rPr>
          <w:rFonts w:ascii="Arial" w:hAnsi="Arial" w:cs="Arial"/>
          <w:b/>
          <w:sz w:val="22"/>
          <w:szCs w:val="22"/>
          <w:lang w:val="fr-FR"/>
        </w:rPr>
      </w:pPr>
      <w:r>
        <w:rPr>
          <w:rFonts w:ascii="Arial" w:hAnsi="Arial" w:cs="Arial"/>
          <w:b/>
          <w:sz w:val="22"/>
          <w:szCs w:val="22"/>
          <w:lang w:val="fr-FR"/>
        </w:rPr>
        <w:t xml:space="preserve">B Réalisation des Objectifs de développement </w:t>
      </w:r>
    </w:p>
    <w:p w:rsidR="00C41E84" w:rsidRDefault="00C41E84" w:rsidP="00C41E84">
      <w:pPr>
        <w:jc w:val="center"/>
        <w:rPr>
          <w:rFonts w:ascii="Arial" w:hAnsi="Arial" w:cs="Arial"/>
          <w:b/>
          <w:sz w:val="22"/>
          <w:szCs w:val="22"/>
          <w:lang w:val="fr-FR"/>
        </w:rPr>
      </w:pPr>
    </w:p>
    <w:p w:rsidR="0048210B" w:rsidRDefault="0048210B" w:rsidP="00C41E84">
      <w:pPr>
        <w:jc w:val="center"/>
        <w:rPr>
          <w:rFonts w:ascii="Arial" w:hAnsi="Arial" w:cs="Arial"/>
          <w:b/>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68"/>
      </w:tblGrid>
      <w:tr w:rsidR="00C41E84" w:rsidRPr="00C25655" w:rsidTr="000F7EE6">
        <w:trPr>
          <w:trHeight w:val="509"/>
        </w:trPr>
        <w:tc>
          <w:tcPr>
            <w:tcW w:w="10368" w:type="dxa"/>
            <w:tcBorders>
              <w:top w:val="single" w:sz="12" w:space="0" w:color="auto"/>
              <w:left w:val="single" w:sz="12" w:space="0" w:color="auto"/>
              <w:bottom w:val="dotted" w:sz="4" w:space="0" w:color="auto"/>
              <w:right w:val="single" w:sz="12" w:space="0" w:color="auto"/>
            </w:tcBorders>
            <w:shd w:val="clear" w:color="auto" w:fill="000000"/>
            <w:vAlign w:val="center"/>
          </w:tcPr>
          <w:p w:rsidR="00C41E84" w:rsidRPr="0042574B" w:rsidRDefault="00C41E84" w:rsidP="000F7EE6">
            <w:pPr>
              <w:rPr>
                <w:rFonts w:ascii="Arial" w:hAnsi="Arial" w:cs="Arial"/>
                <w:b/>
                <w:sz w:val="22"/>
                <w:szCs w:val="22"/>
                <w:lang w:val="fr-FR"/>
              </w:rPr>
            </w:pPr>
            <w:r>
              <w:rPr>
                <w:rFonts w:ascii="Arial" w:hAnsi="Arial" w:cs="Arial"/>
                <w:b/>
                <w:sz w:val="22"/>
                <w:szCs w:val="22"/>
                <w:lang w:val="fr-FR"/>
              </w:rPr>
              <w:t xml:space="preserve">Objectifs du développement du Projet </w:t>
            </w:r>
          </w:p>
        </w:tc>
      </w:tr>
      <w:tr w:rsidR="00C41E84" w:rsidRPr="00C25655" w:rsidTr="000F7EE6">
        <w:tc>
          <w:tcPr>
            <w:tcW w:w="10368" w:type="dxa"/>
            <w:tcBorders>
              <w:top w:val="dotted" w:sz="4" w:space="0" w:color="auto"/>
              <w:left w:val="single" w:sz="12" w:space="0" w:color="auto"/>
              <w:bottom w:val="dotted" w:sz="4" w:space="0" w:color="auto"/>
              <w:right w:val="single" w:sz="12" w:space="0" w:color="auto"/>
            </w:tcBorders>
          </w:tcPr>
          <w:p w:rsidR="004611A7" w:rsidRDefault="004611A7" w:rsidP="000F7EE6">
            <w:pPr>
              <w:pStyle w:val="IFADparagraphnumbering"/>
              <w:numPr>
                <w:ilvl w:val="0"/>
                <w:numId w:val="0"/>
              </w:numPr>
              <w:spacing w:line="240" w:lineRule="auto"/>
              <w:rPr>
                <w:rFonts w:ascii="Century Gothic" w:hAnsi="Century Gothic"/>
                <w:b/>
                <w:bCs/>
                <w:sz w:val="20"/>
                <w:lang w:val="fr-FR"/>
              </w:rPr>
            </w:pPr>
          </w:p>
          <w:p w:rsidR="00C41E84" w:rsidRPr="004611A7" w:rsidRDefault="00C41E84" w:rsidP="000F7EE6">
            <w:pPr>
              <w:pStyle w:val="IFADparagraphnumbering"/>
              <w:numPr>
                <w:ilvl w:val="0"/>
                <w:numId w:val="0"/>
              </w:numPr>
              <w:spacing w:line="240" w:lineRule="auto"/>
              <w:rPr>
                <w:rFonts w:ascii="Century Gothic" w:hAnsi="Century Gothic"/>
                <w:bCs/>
                <w:sz w:val="20"/>
                <w:lang w:val="fr-FR"/>
              </w:rPr>
            </w:pPr>
            <w:r w:rsidRPr="004611A7">
              <w:rPr>
                <w:rFonts w:ascii="Century Gothic" w:hAnsi="Century Gothic"/>
                <w:b/>
                <w:bCs/>
                <w:sz w:val="20"/>
                <w:lang w:val="fr-FR"/>
              </w:rPr>
              <w:t>L’objectif général</w:t>
            </w:r>
            <w:r w:rsidRPr="004611A7">
              <w:rPr>
                <w:rFonts w:ascii="Century Gothic" w:hAnsi="Century Gothic"/>
                <w:bCs/>
                <w:sz w:val="20"/>
                <w:lang w:val="fr-FR"/>
              </w:rPr>
              <w:t xml:space="preserve"> du programme PROSPERER est de promouvoir l’augmentation des revenus par la consolidation de micro-entreprises rurales aux niveaux local et régional. </w:t>
            </w:r>
          </w:p>
          <w:p w:rsidR="004611A7" w:rsidRDefault="004611A7" w:rsidP="000F7EE6">
            <w:pPr>
              <w:pStyle w:val="IFADparagraphnumbering"/>
              <w:numPr>
                <w:ilvl w:val="0"/>
                <w:numId w:val="0"/>
              </w:numPr>
              <w:spacing w:line="240" w:lineRule="auto"/>
              <w:rPr>
                <w:rFonts w:ascii="Century Gothic" w:hAnsi="Century Gothic"/>
                <w:b/>
                <w:sz w:val="20"/>
                <w:lang w:val="fr-FR"/>
              </w:rPr>
            </w:pPr>
          </w:p>
          <w:p w:rsidR="00C41E84" w:rsidRPr="004611A7" w:rsidRDefault="00C41E84" w:rsidP="000F7EE6">
            <w:pPr>
              <w:pStyle w:val="IFADparagraphnumbering"/>
              <w:numPr>
                <w:ilvl w:val="0"/>
                <w:numId w:val="0"/>
              </w:numPr>
              <w:spacing w:line="240" w:lineRule="auto"/>
              <w:rPr>
                <w:rFonts w:ascii="Century Gothic" w:hAnsi="Century Gothic"/>
                <w:sz w:val="20"/>
                <w:lang w:val="fr-FR"/>
              </w:rPr>
            </w:pPr>
            <w:r w:rsidRPr="004611A7">
              <w:rPr>
                <w:rFonts w:ascii="Century Gothic" w:hAnsi="Century Gothic"/>
                <w:b/>
                <w:sz w:val="20"/>
                <w:lang w:val="fr-FR"/>
              </w:rPr>
              <w:lastRenderedPageBreak/>
              <w:t>Les objectifs spécifiques</w:t>
            </w:r>
            <w:r w:rsidRPr="004611A7">
              <w:rPr>
                <w:rFonts w:ascii="Century Gothic" w:hAnsi="Century Gothic"/>
                <w:sz w:val="20"/>
                <w:lang w:val="fr-FR"/>
              </w:rPr>
              <w:t xml:space="preserve"> du programme sont les suivants: </w:t>
            </w:r>
          </w:p>
          <w:p w:rsidR="004611A7" w:rsidRDefault="00C41E84" w:rsidP="006247B1">
            <w:pPr>
              <w:pStyle w:val="IFADparagraphnumbering"/>
              <w:numPr>
                <w:ilvl w:val="0"/>
                <w:numId w:val="22"/>
              </w:numPr>
              <w:spacing w:after="0" w:line="240" w:lineRule="auto"/>
              <w:ind w:left="426"/>
              <w:rPr>
                <w:rFonts w:ascii="Century Gothic" w:hAnsi="Century Gothic"/>
                <w:sz w:val="20"/>
                <w:lang w:val="fr-FR"/>
              </w:rPr>
            </w:pPr>
            <w:r w:rsidRPr="004611A7">
              <w:rPr>
                <w:rFonts w:ascii="Century Gothic" w:hAnsi="Century Gothic"/>
                <w:sz w:val="20"/>
                <w:lang w:val="fr-FR"/>
              </w:rPr>
              <w:t>Créer et appuyer un réseau d’organisations professionnelles, de corps de métiers et de fédérations interprofessionnelles qui répondront aux besoins de développement des entreprises rurales;</w:t>
            </w:r>
          </w:p>
          <w:p w:rsidR="004611A7" w:rsidRPr="004611A7" w:rsidRDefault="004611A7" w:rsidP="004611A7">
            <w:pPr>
              <w:pStyle w:val="IFADparagraphnumbering"/>
              <w:numPr>
                <w:ilvl w:val="0"/>
                <w:numId w:val="0"/>
              </w:numPr>
              <w:spacing w:after="0" w:line="240" w:lineRule="auto"/>
              <w:ind w:left="720"/>
              <w:rPr>
                <w:rFonts w:ascii="Century Gothic" w:hAnsi="Century Gothic"/>
                <w:sz w:val="20"/>
                <w:lang w:val="fr-FR"/>
              </w:rPr>
            </w:pPr>
          </w:p>
          <w:p w:rsidR="00C41E84" w:rsidRDefault="00C41E84" w:rsidP="006247B1">
            <w:pPr>
              <w:pStyle w:val="IFADparagraphnumbering"/>
              <w:numPr>
                <w:ilvl w:val="0"/>
                <w:numId w:val="22"/>
              </w:numPr>
              <w:spacing w:after="0" w:line="240" w:lineRule="auto"/>
              <w:ind w:left="426"/>
              <w:rPr>
                <w:rFonts w:ascii="Century Gothic" w:hAnsi="Century Gothic"/>
                <w:sz w:val="20"/>
                <w:lang w:val="fr-FR"/>
              </w:rPr>
            </w:pPr>
            <w:r w:rsidRPr="004611A7">
              <w:rPr>
                <w:rFonts w:ascii="Century Gothic" w:hAnsi="Century Gothic"/>
                <w:sz w:val="20"/>
                <w:lang w:val="fr-FR"/>
              </w:rPr>
              <w:t>Contribuer à l’élaboration d’un cadre institutionnel et de la politique nationale en matière d’appui aux micro-entreprises rurales;</w:t>
            </w:r>
          </w:p>
          <w:p w:rsidR="004611A7" w:rsidRDefault="004611A7" w:rsidP="004611A7">
            <w:pPr>
              <w:pStyle w:val="Paragraphedeliste"/>
              <w:rPr>
                <w:rFonts w:ascii="Century Gothic" w:hAnsi="Century Gothic"/>
                <w:sz w:val="20"/>
              </w:rPr>
            </w:pPr>
          </w:p>
          <w:p w:rsidR="00C41E84" w:rsidRDefault="00C41E84" w:rsidP="006247B1">
            <w:pPr>
              <w:pStyle w:val="IFADparagraphnumbering"/>
              <w:numPr>
                <w:ilvl w:val="0"/>
                <w:numId w:val="22"/>
              </w:numPr>
              <w:spacing w:after="0" w:line="240" w:lineRule="auto"/>
              <w:ind w:left="426"/>
              <w:rPr>
                <w:rFonts w:ascii="Century Gothic" w:hAnsi="Century Gothic"/>
                <w:sz w:val="20"/>
                <w:lang w:val="fr-FR"/>
              </w:rPr>
            </w:pPr>
            <w:r w:rsidRPr="004611A7">
              <w:rPr>
                <w:rFonts w:ascii="Century Gothic" w:hAnsi="Century Gothic"/>
                <w:sz w:val="20"/>
                <w:lang w:val="fr-FR"/>
              </w:rPr>
              <w:t xml:space="preserve">Améliorer la compétitivité des micro-entreprises rurales pour renforcer les performances des clusters et filières au sein des pôles économiques régionaux; </w:t>
            </w:r>
          </w:p>
          <w:p w:rsidR="004611A7" w:rsidRDefault="004611A7" w:rsidP="004611A7">
            <w:pPr>
              <w:pStyle w:val="Paragraphedeliste"/>
              <w:rPr>
                <w:rFonts w:ascii="Century Gothic" w:hAnsi="Century Gothic"/>
                <w:sz w:val="20"/>
              </w:rPr>
            </w:pPr>
          </w:p>
          <w:p w:rsidR="00C41E84" w:rsidRDefault="00C41E84" w:rsidP="006247B1">
            <w:pPr>
              <w:pStyle w:val="IFADparagraphnumbering"/>
              <w:numPr>
                <w:ilvl w:val="0"/>
                <w:numId w:val="22"/>
              </w:numPr>
              <w:spacing w:after="0" w:line="240" w:lineRule="auto"/>
              <w:ind w:left="426"/>
              <w:rPr>
                <w:rFonts w:ascii="Century Gothic" w:hAnsi="Century Gothic"/>
                <w:sz w:val="20"/>
                <w:lang w:val="fr-FR"/>
              </w:rPr>
            </w:pPr>
            <w:r w:rsidRPr="004611A7">
              <w:rPr>
                <w:rFonts w:ascii="Century Gothic" w:hAnsi="Century Gothic"/>
                <w:sz w:val="20"/>
                <w:lang w:val="fr-FR"/>
              </w:rPr>
              <w:t xml:space="preserve">Permettre aux entrepreneurs d’accéder à des services financiers et non financiers pérennes ainsi qu’aux marchés, dans un environnement favorable de gestion de risques; </w:t>
            </w:r>
          </w:p>
          <w:p w:rsidR="004611A7" w:rsidRDefault="004611A7" w:rsidP="000F7EE6">
            <w:pPr>
              <w:pStyle w:val="IFADparagraphnumbering"/>
              <w:numPr>
                <w:ilvl w:val="0"/>
                <w:numId w:val="0"/>
              </w:numPr>
              <w:tabs>
                <w:tab w:val="num" w:pos="2340"/>
              </w:tabs>
              <w:spacing w:after="0" w:line="240" w:lineRule="auto"/>
              <w:rPr>
                <w:rFonts w:ascii="Century Gothic" w:hAnsi="Century Gothic"/>
                <w:b/>
                <w:sz w:val="20"/>
                <w:u w:val="single"/>
                <w:lang w:val="fr-FR"/>
              </w:rPr>
            </w:pPr>
          </w:p>
          <w:p w:rsidR="004611A7" w:rsidRPr="004611A7" w:rsidRDefault="004611A7" w:rsidP="000F7EE6">
            <w:pPr>
              <w:pStyle w:val="IFADparagraphnumbering"/>
              <w:numPr>
                <w:ilvl w:val="0"/>
                <w:numId w:val="0"/>
              </w:numPr>
              <w:tabs>
                <w:tab w:val="num" w:pos="2340"/>
              </w:tabs>
              <w:spacing w:after="0" w:line="240" w:lineRule="auto"/>
              <w:rPr>
                <w:rFonts w:ascii="Century Gothic" w:hAnsi="Century Gothic"/>
                <w:b/>
                <w:sz w:val="20"/>
                <w:u w:val="single"/>
                <w:lang w:val="fr-FR"/>
              </w:rPr>
            </w:pPr>
            <w:r w:rsidRPr="004611A7">
              <w:rPr>
                <w:rFonts w:ascii="Century Gothic" w:hAnsi="Century Gothic"/>
                <w:b/>
                <w:sz w:val="20"/>
                <w:u w:val="single"/>
                <w:lang w:val="fr-FR"/>
              </w:rPr>
              <w:t>En termes d’effet</w:t>
            </w:r>
            <w:r w:rsidR="00742A9C">
              <w:rPr>
                <w:rFonts w:ascii="Century Gothic" w:hAnsi="Century Gothic"/>
                <w:b/>
                <w:sz w:val="20"/>
                <w:u w:val="single"/>
                <w:lang w:val="fr-FR"/>
              </w:rPr>
              <w:t>s</w:t>
            </w:r>
          </w:p>
          <w:p w:rsidR="004611A7" w:rsidRDefault="004611A7" w:rsidP="000F7EE6">
            <w:pPr>
              <w:pStyle w:val="IFADparagraphnumbering"/>
              <w:numPr>
                <w:ilvl w:val="0"/>
                <w:numId w:val="0"/>
              </w:numPr>
              <w:tabs>
                <w:tab w:val="num" w:pos="2340"/>
              </w:tabs>
              <w:spacing w:after="0" w:line="240" w:lineRule="auto"/>
              <w:rPr>
                <w:rFonts w:ascii="Century Gothic" w:hAnsi="Century Gothic"/>
                <w:sz w:val="20"/>
                <w:lang w:val="fr-FR"/>
              </w:rPr>
            </w:pPr>
          </w:p>
          <w:p w:rsidR="004611A7" w:rsidRDefault="00C853EC" w:rsidP="000F7EE6">
            <w:pPr>
              <w:pStyle w:val="IFADparagraphnumbering"/>
              <w:numPr>
                <w:ilvl w:val="0"/>
                <w:numId w:val="0"/>
              </w:numPr>
              <w:tabs>
                <w:tab w:val="num" w:pos="2340"/>
              </w:tabs>
              <w:spacing w:after="0" w:line="240" w:lineRule="auto"/>
              <w:rPr>
                <w:rFonts w:ascii="Century Gothic" w:hAnsi="Century Gothic"/>
                <w:sz w:val="20"/>
                <w:lang w:val="fr-FR"/>
              </w:rPr>
            </w:pPr>
            <w:r>
              <w:rPr>
                <w:rFonts w:ascii="Century Gothic" w:hAnsi="Century Gothic"/>
                <w:sz w:val="20"/>
                <w:lang w:val="fr-FR"/>
              </w:rPr>
              <w:t>7</w:t>
            </w:r>
            <w:r w:rsidR="00715ABA">
              <w:rPr>
                <w:rFonts w:ascii="Century Gothic" w:hAnsi="Century Gothic"/>
                <w:sz w:val="20"/>
                <w:lang w:val="fr-FR"/>
              </w:rPr>
              <w:t>6</w:t>
            </w:r>
            <w:r>
              <w:rPr>
                <w:rFonts w:ascii="Century Gothic" w:hAnsi="Century Gothic"/>
                <w:sz w:val="20"/>
                <w:lang w:val="fr-FR"/>
              </w:rPr>
              <w:t>0</w:t>
            </w:r>
            <w:r w:rsidR="00715ABA">
              <w:rPr>
                <w:rFonts w:ascii="Century Gothic" w:hAnsi="Century Gothic"/>
                <w:sz w:val="20"/>
                <w:lang w:val="fr-FR"/>
              </w:rPr>
              <w:t>1 MER sont appuyées par le programme soit à 114% de bénéficiaires directs prévus pour 2009. Mais ces bénéficiaires représentent le 52,71</w:t>
            </w:r>
            <w:r w:rsidR="004611A7" w:rsidRPr="004611A7">
              <w:rPr>
                <w:rFonts w:ascii="Century Gothic" w:hAnsi="Century Gothic"/>
                <w:sz w:val="20"/>
                <w:lang w:val="fr-FR"/>
              </w:rPr>
              <w:t xml:space="preserve">% des MER/PER validées </w:t>
            </w:r>
            <w:r>
              <w:rPr>
                <w:rFonts w:ascii="Century Gothic" w:hAnsi="Century Gothic"/>
                <w:sz w:val="20"/>
                <w:lang w:val="fr-FR"/>
              </w:rPr>
              <w:t xml:space="preserve">ayant </w:t>
            </w:r>
            <w:r w:rsidR="004611A7" w:rsidRPr="004611A7">
              <w:rPr>
                <w:rFonts w:ascii="Century Gothic" w:hAnsi="Century Gothic"/>
                <w:sz w:val="20"/>
                <w:lang w:val="fr-FR"/>
              </w:rPr>
              <w:t>bénéfici</w:t>
            </w:r>
            <w:r>
              <w:rPr>
                <w:rFonts w:ascii="Century Gothic" w:hAnsi="Century Gothic"/>
                <w:sz w:val="20"/>
                <w:lang w:val="fr-FR"/>
              </w:rPr>
              <w:t>é</w:t>
            </w:r>
            <w:r w:rsidR="004611A7" w:rsidRPr="004611A7">
              <w:rPr>
                <w:rFonts w:ascii="Century Gothic" w:hAnsi="Century Gothic"/>
                <w:sz w:val="20"/>
                <w:lang w:val="fr-FR"/>
              </w:rPr>
              <w:t xml:space="preserve"> des services non financiers</w:t>
            </w:r>
            <w:r w:rsidR="00715ABA">
              <w:rPr>
                <w:rFonts w:ascii="Century Gothic" w:hAnsi="Century Gothic"/>
                <w:sz w:val="20"/>
                <w:lang w:val="fr-FR"/>
              </w:rPr>
              <w:t xml:space="preserve"> au cours de cette année 2009. </w:t>
            </w:r>
            <w:r>
              <w:rPr>
                <w:rFonts w:ascii="Century Gothic" w:hAnsi="Century Gothic"/>
                <w:sz w:val="20"/>
                <w:lang w:val="fr-FR"/>
              </w:rPr>
              <w:t>La désagrégation par genre nous informe que 3 290 MER soit 43,28% sont des hommes tandis que 4 311 MER soit 56,71% sont des femmes.</w:t>
            </w:r>
          </w:p>
          <w:p w:rsidR="00C853EC" w:rsidRPr="004611A7" w:rsidRDefault="00C853EC" w:rsidP="000F7EE6">
            <w:pPr>
              <w:pStyle w:val="IFADparagraphnumbering"/>
              <w:numPr>
                <w:ilvl w:val="0"/>
                <w:numId w:val="0"/>
              </w:numPr>
              <w:tabs>
                <w:tab w:val="num" w:pos="2340"/>
              </w:tabs>
              <w:spacing w:after="0" w:line="240" w:lineRule="auto"/>
              <w:rPr>
                <w:rFonts w:ascii="Century Gothic" w:hAnsi="Century Gothic"/>
                <w:sz w:val="20"/>
                <w:lang w:val="fr-FR"/>
              </w:rPr>
            </w:pPr>
          </w:p>
          <w:p w:rsidR="00C41E84" w:rsidRDefault="00C41E84" w:rsidP="006247B1">
            <w:pPr>
              <w:pStyle w:val="IFADparagraphnumbering"/>
              <w:numPr>
                <w:ilvl w:val="0"/>
                <w:numId w:val="22"/>
              </w:numPr>
              <w:spacing w:after="0" w:line="240" w:lineRule="auto"/>
              <w:ind w:left="426"/>
              <w:rPr>
                <w:rFonts w:ascii="Century Gothic" w:hAnsi="Century Gothic"/>
                <w:sz w:val="20"/>
                <w:lang w:val="fr-FR"/>
              </w:rPr>
            </w:pPr>
            <w:r w:rsidRPr="004611A7">
              <w:rPr>
                <w:rFonts w:ascii="Century Gothic" w:hAnsi="Century Gothic"/>
                <w:sz w:val="20"/>
                <w:lang w:val="fr-FR"/>
              </w:rPr>
              <w:t>Créer un environnement structurant favorisant la modernisation des filières rurales.</w:t>
            </w:r>
          </w:p>
          <w:p w:rsidR="004611A7" w:rsidRPr="00E45C52" w:rsidRDefault="004611A7" w:rsidP="004611A7">
            <w:pPr>
              <w:pStyle w:val="IFADparagraphnumbering"/>
              <w:numPr>
                <w:ilvl w:val="0"/>
                <w:numId w:val="0"/>
              </w:numPr>
              <w:spacing w:after="0" w:line="240" w:lineRule="auto"/>
              <w:ind w:left="720"/>
              <w:rPr>
                <w:szCs w:val="22"/>
                <w:lang w:val="fr-FR"/>
              </w:rPr>
            </w:pPr>
          </w:p>
        </w:tc>
      </w:tr>
      <w:tr w:rsidR="00C41E84" w:rsidRPr="00C25655" w:rsidTr="000F7EE6">
        <w:tc>
          <w:tcPr>
            <w:tcW w:w="10368" w:type="dxa"/>
            <w:tcBorders>
              <w:top w:val="dotted" w:sz="4" w:space="0" w:color="auto"/>
              <w:left w:val="single" w:sz="12" w:space="0" w:color="auto"/>
              <w:bottom w:val="single" w:sz="12" w:space="0" w:color="auto"/>
              <w:right w:val="single" w:sz="12" w:space="0" w:color="auto"/>
            </w:tcBorders>
          </w:tcPr>
          <w:p w:rsidR="00C41E84" w:rsidRPr="00DA65C6" w:rsidRDefault="00C41E84" w:rsidP="000F7EE6">
            <w:pPr>
              <w:pStyle w:val="IFADparagraphnumbering"/>
              <w:numPr>
                <w:ilvl w:val="0"/>
                <w:numId w:val="0"/>
              </w:numPr>
              <w:spacing w:line="240" w:lineRule="auto"/>
              <w:rPr>
                <w:bCs/>
                <w:lang w:val="fr-FR"/>
              </w:rPr>
            </w:pPr>
          </w:p>
        </w:tc>
      </w:tr>
    </w:tbl>
    <w:p w:rsidR="00C41E84" w:rsidRPr="0007403F" w:rsidRDefault="00C41E84">
      <w:pPr>
        <w:rPr>
          <w:rFonts w:ascii="Arial" w:hAnsi="Arial" w:cs="Arial"/>
          <w:bCs/>
          <w:sz w:val="22"/>
          <w:szCs w:val="22"/>
          <w:lang w:val="fr-FR"/>
        </w:rPr>
      </w:pPr>
    </w:p>
    <w:sectPr w:rsidR="00C41E84" w:rsidRPr="0007403F" w:rsidSect="00F664FB">
      <w:headerReference w:type="default" r:id="rId9"/>
      <w:footerReference w:type="default" r:id="rId10"/>
      <w:pgSz w:w="11906" w:h="16838"/>
      <w:pgMar w:top="567" w:right="851"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6717" w:rsidRDefault="00A46717">
      <w:r>
        <w:separator/>
      </w:r>
    </w:p>
  </w:endnote>
  <w:endnote w:type="continuationSeparator" w:id="1">
    <w:p w:rsidR="00A46717" w:rsidRDefault="00A467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B81" w:rsidRPr="00827408" w:rsidRDefault="00827408" w:rsidP="00827408">
    <w:pPr>
      <w:pStyle w:val="Pieddepage"/>
      <w:jc w:val="right"/>
      <w:rPr>
        <w:rFonts w:ascii="Century Gothic" w:hAnsi="Century Gothic"/>
        <w:i/>
        <w:sz w:val="16"/>
        <w:szCs w:val="16"/>
        <w:lang w:val="fr-FR"/>
      </w:rPr>
    </w:pPr>
    <w:r>
      <w:rPr>
        <w:rFonts w:ascii="Century Gothic" w:hAnsi="Century Gothic"/>
        <w:i/>
        <w:sz w:val="16"/>
        <w:szCs w:val="16"/>
        <w:lang w:val="fr-FR"/>
      </w:rPr>
      <w:t xml:space="preserve">Rapport </w:t>
    </w:r>
    <w:r w:rsidR="007A2B81" w:rsidRPr="00827408">
      <w:rPr>
        <w:rFonts w:ascii="Century Gothic" w:hAnsi="Century Gothic"/>
        <w:i/>
        <w:sz w:val="16"/>
        <w:szCs w:val="16"/>
        <w:lang w:val="fr-FR"/>
      </w:rPr>
      <w:t>Semestriel</w:t>
    </w:r>
    <w:r>
      <w:rPr>
        <w:rFonts w:ascii="Century Gothic" w:hAnsi="Century Gothic"/>
        <w:i/>
        <w:sz w:val="16"/>
        <w:szCs w:val="16"/>
        <w:lang w:val="fr-FR"/>
      </w:rPr>
      <w:t>-</w:t>
    </w:r>
    <w:r w:rsidR="007A2B81" w:rsidRPr="00827408">
      <w:rPr>
        <w:rFonts w:ascii="Century Gothic" w:hAnsi="Century Gothic"/>
        <w:i/>
        <w:sz w:val="16"/>
        <w:szCs w:val="16"/>
        <w:lang w:val="fr-FR"/>
      </w:rPr>
      <w:t>PROSPERER</w:t>
    </w:r>
    <w:r>
      <w:rPr>
        <w:rFonts w:ascii="Century Gothic" w:hAnsi="Century Gothic"/>
        <w:i/>
        <w:sz w:val="16"/>
        <w:szCs w:val="16"/>
        <w:lang w:val="fr-FR"/>
      </w:rPr>
      <w:t>-</w:t>
    </w:r>
    <w:r w:rsidR="007A2B81" w:rsidRPr="00827408">
      <w:rPr>
        <w:rFonts w:ascii="Century Gothic" w:hAnsi="Century Gothic"/>
        <w:i/>
        <w:sz w:val="16"/>
        <w:szCs w:val="16"/>
        <w:lang w:val="fr-FR"/>
      </w:rPr>
      <w:t>12/09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6717" w:rsidRDefault="00A46717">
      <w:r>
        <w:separator/>
      </w:r>
    </w:p>
  </w:footnote>
  <w:footnote w:type="continuationSeparator" w:id="1">
    <w:p w:rsidR="00A46717" w:rsidRDefault="00A467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4F6" w:rsidRDefault="00E744F6">
    <w:pPr>
      <w:pStyle w:val="En-tte"/>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E5CC5476"/>
    <w:name w:val="WW8Num7"/>
    <w:lvl w:ilvl="0">
      <w:numFmt w:val="bullet"/>
      <w:lvlText w:val="-"/>
      <w:lvlJc w:val="left"/>
      <w:pPr>
        <w:tabs>
          <w:tab w:val="num" w:pos="720"/>
        </w:tabs>
        <w:ind w:left="720" w:hanging="360"/>
      </w:pPr>
      <w:rPr>
        <w:rFonts w:ascii="Times New Roman" w:hAnsi="Times New Roman"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
    <w:nsid w:val="00000008"/>
    <w:multiLevelType w:val="multilevel"/>
    <w:tmpl w:val="00000008"/>
    <w:name w:val="WW8Num8"/>
    <w:lvl w:ilvl="0">
      <w:start w:val="1"/>
      <w:numFmt w:val="bullet"/>
      <w:lvlText w:val=""/>
      <w:lvlJc w:val="left"/>
      <w:pPr>
        <w:tabs>
          <w:tab w:val="num" w:pos="720"/>
        </w:tabs>
        <w:ind w:left="720" w:hanging="360"/>
      </w:pPr>
      <w:rPr>
        <w:rFonts w:ascii="Symbol" w:hAnsi="Symbol"/>
        <w:lang w:val="fr-FR"/>
      </w:rPr>
    </w:lvl>
    <w:lvl w:ilvl="1">
      <w:start w:val="1"/>
      <w:numFmt w:val="bullet"/>
      <w:lvlText w:val=""/>
      <w:lvlJc w:val="left"/>
      <w:pPr>
        <w:tabs>
          <w:tab w:val="num" w:pos="1080"/>
        </w:tabs>
        <w:ind w:left="1080" w:hanging="360"/>
      </w:pPr>
      <w:rPr>
        <w:rFonts w:ascii="Symbol" w:hAnsi="Symbol"/>
        <w:lang w:val="fr-FR"/>
      </w:rPr>
    </w:lvl>
    <w:lvl w:ilvl="2">
      <w:start w:val="1"/>
      <w:numFmt w:val="bullet"/>
      <w:lvlText w:val=""/>
      <w:lvlJc w:val="left"/>
      <w:pPr>
        <w:tabs>
          <w:tab w:val="num" w:pos="1440"/>
        </w:tabs>
        <w:ind w:left="1440" w:hanging="360"/>
      </w:pPr>
      <w:rPr>
        <w:rFonts w:ascii="Symbol" w:hAnsi="Symbol"/>
        <w:lang w:val="fr-FR"/>
      </w:rPr>
    </w:lvl>
    <w:lvl w:ilvl="3">
      <w:start w:val="1"/>
      <w:numFmt w:val="bullet"/>
      <w:lvlText w:val=""/>
      <w:lvlJc w:val="left"/>
      <w:pPr>
        <w:tabs>
          <w:tab w:val="num" w:pos="1800"/>
        </w:tabs>
        <w:ind w:left="1800" w:hanging="360"/>
      </w:pPr>
      <w:rPr>
        <w:rFonts w:ascii="Symbol" w:hAnsi="Symbol"/>
        <w:lang w:val="fr-FR"/>
      </w:rPr>
    </w:lvl>
    <w:lvl w:ilvl="4">
      <w:start w:val="1"/>
      <w:numFmt w:val="bullet"/>
      <w:lvlText w:val=""/>
      <w:lvlJc w:val="left"/>
      <w:pPr>
        <w:tabs>
          <w:tab w:val="num" w:pos="2160"/>
        </w:tabs>
        <w:ind w:left="2160" w:hanging="360"/>
      </w:pPr>
      <w:rPr>
        <w:rFonts w:ascii="Symbol" w:hAnsi="Symbol"/>
        <w:lang w:val="fr-FR"/>
      </w:rPr>
    </w:lvl>
    <w:lvl w:ilvl="5">
      <w:start w:val="1"/>
      <w:numFmt w:val="bullet"/>
      <w:lvlText w:val=""/>
      <w:lvlJc w:val="left"/>
      <w:pPr>
        <w:tabs>
          <w:tab w:val="num" w:pos="2520"/>
        </w:tabs>
        <w:ind w:left="2520" w:hanging="360"/>
      </w:pPr>
      <w:rPr>
        <w:rFonts w:ascii="Symbol" w:hAnsi="Symbol"/>
        <w:lang w:val="fr-FR"/>
      </w:rPr>
    </w:lvl>
    <w:lvl w:ilvl="6">
      <w:start w:val="1"/>
      <w:numFmt w:val="bullet"/>
      <w:lvlText w:val=""/>
      <w:lvlJc w:val="left"/>
      <w:pPr>
        <w:tabs>
          <w:tab w:val="num" w:pos="2880"/>
        </w:tabs>
        <w:ind w:left="2880" w:hanging="360"/>
      </w:pPr>
      <w:rPr>
        <w:rFonts w:ascii="Symbol" w:hAnsi="Symbol"/>
        <w:lang w:val="fr-FR"/>
      </w:rPr>
    </w:lvl>
    <w:lvl w:ilvl="7">
      <w:start w:val="1"/>
      <w:numFmt w:val="bullet"/>
      <w:lvlText w:val=""/>
      <w:lvlJc w:val="left"/>
      <w:pPr>
        <w:tabs>
          <w:tab w:val="num" w:pos="3240"/>
        </w:tabs>
        <w:ind w:left="3240" w:hanging="360"/>
      </w:pPr>
      <w:rPr>
        <w:rFonts w:ascii="Symbol" w:hAnsi="Symbol"/>
        <w:lang w:val="fr-FR"/>
      </w:rPr>
    </w:lvl>
    <w:lvl w:ilvl="8">
      <w:start w:val="1"/>
      <w:numFmt w:val="bullet"/>
      <w:lvlText w:val=""/>
      <w:lvlJc w:val="left"/>
      <w:pPr>
        <w:tabs>
          <w:tab w:val="num" w:pos="3600"/>
        </w:tabs>
        <w:ind w:left="3600" w:hanging="360"/>
      </w:pPr>
      <w:rPr>
        <w:rFonts w:ascii="Symbol" w:hAnsi="Symbol"/>
        <w:lang w:val="fr-FR"/>
      </w:rPr>
    </w:lvl>
  </w:abstractNum>
  <w:abstractNum w:abstractNumId="2">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131542B"/>
    <w:multiLevelType w:val="hybridMultilevel"/>
    <w:tmpl w:val="6E58C7EA"/>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nsid w:val="02772D7B"/>
    <w:multiLevelType w:val="hybridMultilevel"/>
    <w:tmpl w:val="33F481A4"/>
    <w:lvl w:ilvl="0" w:tplc="1840CA18">
      <w:start w:val="1"/>
      <w:numFmt w:val="bullet"/>
      <w:lvlText w:val="þ"/>
      <w:lvlJc w:val="left"/>
      <w:pPr>
        <w:tabs>
          <w:tab w:val="num" w:pos="720"/>
        </w:tabs>
        <w:ind w:left="720" w:hanging="360"/>
      </w:pPr>
      <w:rPr>
        <w:rFonts w:ascii="Wingdings" w:hAnsi="Wingdings" w:hint="default"/>
        <w:b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83D3D7E"/>
    <w:multiLevelType w:val="hybridMultilevel"/>
    <w:tmpl w:val="A5400C9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C60777"/>
    <w:multiLevelType w:val="hybridMultilevel"/>
    <w:tmpl w:val="2102C4F0"/>
    <w:lvl w:ilvl="0" w:tplc="040C000D">
      <w:start w:val="1"/>
      <w:numFmt w:val="bullet"/>
      <w:lvlText w:val=""/>
      <w:lvlJc w:val="left"/>
      <w:pPr>
        <w:ind w:left="1290" w:hanging="360"/>
      </w:pPr>
      <w:rPr>
        <w:rFonts w:ascii="Wingdings" w:hAnsi="Wingdings"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7">
    <w:nsid w:val="119662CF"/>
    <w:multiLevelType w:val="multilevel"/>
    <w:tmpl w:val="4A6C61DC"/>
    <w:lvl w:ilvl="0">
      <w:start w:val="1"/>
      <w:numFmt w:val="decimal"/>
      <w:pStyle w:val="IFADparagraphnumbering"/>
      <w:lvlText w:val="%1."/>
      <w:lvlJc w:val="left"/>
      <w:pPr>
        <w:tabs>
          <w:tab w:val="num" w:pos="567"/>
        </w:tabs>
        <w:ind w:left="0" w:firstLine="0"/>
      </w:pPr>
      <w:rPr>
        <w:rFonts w:ascii="Times New Roman" w:hAnsi="Times New Roman" w:hint="default"/>
        <w:b w:val="0"/>
        <w:i w:val="0"/>
        <w:color w:val="auto"/>
        <w:vertAlign w:val="baseli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284"/>
        </w:tabs>
        <w:ind w:left="284" w:hanging="284"/>
      </w:pPr>
      <w:rPr>
        <w:rFonts w:hint="default"/>
      </w:rPr>
    </w:lvl>
    <w:lvl w:ilvl="3">
      <w:start w:val="1"/>
      <w:numFmt w:val="lowerRoman"/>
      <w:lvlText w:val="%4."/>
      <w:lvlJc w:val="left"/>
      <w:pPr>
        <w:tabs>
          <w:tab w:val="num" w:pos="1778"/>
        </w:tabs>
        <w:ind w:left="1778" w:hanging="360"/>
      </w:pPr>
      <w:rPr>
        <w:rFonts w:hint="default"/>
        <w:b w:val="0"/>
        <w:i w:val="0"/>
        <w:color w:val="auto"/>
        <w:vertAlign w:val="baseline"/>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05"/>
        </w:tabs>
        <w:ind w:left="2505" w:hanging="705"/>
      </w:pPr>
      <w:rPr>
        <w:rFonts w:hint="default"/>
        <w:b w:val="0"/>
        <w:i/>
        <w:color w:val="auto"/>
        <w:vertAlign w:val="baseline"/>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C093EE2"/>
    <w:multiLevelType w:val="hybridMultilevel"/>
    <w:tmpl w:val="150CF5A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EB4190F"/>
    <w:multiLevelType w:val="hybridMultilevel"/>
    <w:tmpl w:val="49FE0B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009382F"/>
    <w:multiLevelType w:val="hybridMultilevel"/>
    <w:tmpl w:val="E8CA5434"/>
    <w:lvl w:ilvl="0" w:tplc="AE14ACB2">
      <w:start w:val="1"/>
      <w:numFmt w:val="bullet"/>
      <w:lvlText w:val="þ"/>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5D755D4"/>
    <w:multiLevelType w:val="hybridMultilevel"/>
    <w:tmpl w:val="D80C008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nsid w:val="260C45BB"/>
    <w:multiLevelType w:val="hybridMultilevel"/>
    <w:tmpl w:val="A51EFA4E"/>
    <w:lvl w:ilvl="0" w:tplc="3620CC92">
      <w:start w:val="1"/>
      <w:numFmt w:val="bullet"/>
      <w:pStyle w:val="Sous-titre"/>
      <w:lvlText w:val=""/>
      <w:lvlJc w:val="left"/>
      <w:pPr>
        <w:tabs>
          <w:tab w:val="num" w:pos="1776"/>
        </w:tabs>
        <w:ind w:left="1776" w:hanging="360"/>
      </w:pPr>
      <w:rPr>
        <w:rFonts w:ascii="Wingdings" w:hAnsi="Wingdings" w:hint="default"/>
      </w:rPr>
    </w:lvl>
    <w:lvl w:ilvl="1" w:tplc="040C0019">
      <w:start w:val="1"/>
      <w:numFmt w:val="lowerLetter"/>
      <w:lvlText w:val="%2."/>
      <w:lvlJc w:val="left"/>
      <w:pPr>
        <w:tabs>
          <w:tab w:val="num" w:pos="2496"/>
        </w:tabs>
        <w:ind w:left="2496" w:hanging="360"/>
      </w:pPr>
    </w:lvl>
    <w:lvl w:ilvl="2" w:tplc="040C001B">
      <w:start w:val="1"/>
      <w:numFmt w:val="lowerRoman"/>
      <w:lvlText w:val="%3."/>
      <w:lvlJc w:val="right"/>
      <w:pPr>
        <w:tabs>
          <w:tab w:val="num" w:pos="3216"/>
        </w:tabs>
        <w:ind w:left="3216" w:hanging="180"/>
      </w:p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13">
    <w:nsid w:val="34B71D62"/>
    <w:multiLevelType w:val="hybridMultilevel"/>
    <w:tmpl w:val="93B63A82"/>
    <w:lvl w:ilvl="0" w:tplc="08090001">
      <w:start w:val="1"/>
      <w:numFmt w:val="upperRoman"/>
      <w:pStyle w:val="CarCar1CarCarCarCharChar"/>
      <w:lvlText w:val="%1."/>
      <w:lvlJc w:val="left"/>
      <w:pPr>
        <w:tabs>
          <w:tab w:val="num" w:pos="1287"/>
        </w:tabs>
        <w:ind w:left="1287" w:hanging="72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4">
    <w:nsid w:val="35536D1E"/>
    <w:multiLevelType w:val="hybridMultilevel"/>
    <w:tmpl w:val="576E753A"/>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nsid w:val="3F833AA3"/>
    <w:multiLevelType w:val="hybridMultilevel"/>
    <w:tmpl w:val="A3EC34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FE159C5"/>
    <w:multiLevelType w:val="hybridMultilevel"/>
    <w:tmpl w:val="44A00944"/>
    <w:lvl w:ilvl="0" w:tplc="5DA4E7DA">
      <w:start w:val="1"/>
      <w:numFmt w:val="bullet"/>
      <w:lvlText w:val="þ"/>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2392D7F"/>
    <w:multiLevelType w:val="hybridMultilevel"/>
    <w:tmpl w:val="1A98BE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AB237B0"/>
    <w:multiLevelType w:val="hybridMultilevel"/>
    <w:tmpl w:val="1E308C42"/>
    <w:lvl w:ilvl="0" w:tplc="5DA4E7DA">
      <w:start w:val="1"/>
      <w:numFmt w:val="bullet"/>
      <w:lvlText w:val="þ"/>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CAA7B63"/>
    <w:multiLevelType w:val="hybridMultilevel"/>
    <w:tmpl w:val="45D2FEEA"/>
    <w:lvl w:ilvl="0" w:tplc="5DA4E7DA">
      <w:start w:val="1"/>
      <w:numFmt w:val="bullet"/>
      <w:lvlText w:val="þ"/>
      <w:lvlJc w:val="left"/>
      <w:pPr>
        <w:tabs>
          <w:tab w:val="num" w:pos="1776"/>
        </w:tabs>
        <w:ind w:left="1776" w:hanging="360"/>
      </w:pPr>
      <w:rPr>
        <w:rFonts w:ascii="Wingdings" w:hAnsi="Wingdings" w:hint="default"/>
      </w:rPr>
    </w:lvl>
    <w:lvl w:ilvl="1" w:tplc="040C0019">
      <w:start w:val="1"/>
      <w:numFmt w:val="lowerLetter"/>
      <w:lvlText w:val="%2."/>
      <w:lvlJc w:val="left"/>
      <w:pPr>
        <w:tabs>
          <w:tab w:val="num" w:pos="2496"/>
        </w:tabs>
        <w:ind w:left="2496" w:hanging="360"/>
      </w:pPr>
    </w:lvl>
    <w:lvl w:ilvl="2" w:tplc="040C001B">
      <w:start w:val="1"/>
      <w:numFmt w:val="lowerRoman"/>
      <w:lvlText w:val="%3."/>
      <w:lvlJc w:val="right"/>
      <w:pPr>
        <w:tabs>
          <w:tab w:val="num" w:pos="3216"/>
        </w:tabs>
        <w:ind w:left="3216" w:hanging="180"/>
      </w:p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20">
    <w:nsid w:val="6FB844AD"/>
    <w:multiLevelType w:val="hybridMultilevel"/>
    <w:tmpl w:val="142663E6"/>
    <w:lvl w:ilvl="0" w:tplc="5DA4E7DA">
      <w:start w:val="1"/>
      <w:numFmt w:val="bullet"/>
      <w:lvlText w:val="þ"/>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10233A0"/>
    <w:multiLevelType w:val="hybridMultilevel"/>
    <w:tmpl w:val="B9C2D4A4"/>
    <w:lvl w:ilvl="0" w:tplc="5DA4E7DA">
      <w:start w:val="1"/>
      <w:numFmt w:val="bullet"/>
      <w:lvlText w:val="þ"/>
      <w:lvlJc w:val="left"/>
      <w:pPr>
        <w:ind w:left="1065" w:hanging="360"/>
      </w:pPr>
      <w:rPr>
        <w:rFonts w:ascii="Wingdings" w:hAnsi="Wingdings" w:hint="default"/>
        <w:sz w:val="16"/>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2">
    <w:nsid w:val="71663416"/>
    <w:multiLevelType w:val="hybridMultilevel"/>
    <w:tmpl w:val="1DF46E28"/>
    <w:lvl w:ilvl="0" w:tplc="5DA4E7DA">
      <w:start w:val="1"/>
      <w:numFmt w:val="bullet"/>
      <w:lvlText w:val="þ"/>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7EE4758"/>
    <w:multiLevelType w:val="hybridMultilevel"/>
    <w:tmpl w:val="388825F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ABB2030"/>
    <w:multiLevelType w:val="hybridMultilevel"/>
    <w:tmpl w:val="969EB09A"/>
    <w:lvl w:ilvl="0" w:tplc="61961826">
      <w:start w:val="3"/>
      <w:numFmt w:val="bullet"/>
      <w:lvlText w:val=""/>
      <w:lvlJc w:val="left"/>
      <w:pPr>
        <w:tabs>
          <w:tab w:val="num" w:pos="360"/>
        </w:tabs>
        <w:ind w:left="0" w:firstLine="0"/>
      </w:pPr>
      <w:rPr>
        <w:rFonts w:ascii="Symbol" w:hAnsi="Symbol" w:cs="Times New Roman" w:hint="default"/>
        <w:color w:val="auto"/>
        <w:sz w:val="22"/>
      </w:rPr>
    </w:lvl>
    <w:lvl w:ilvl="1" w:tplc="B264421E">
      <w:start w:val="3"/>
      <w:numFmt w:val="bullet"/>
      <w:pStyle w:val="Titre3"/>
      <w:lvlText w:val="-"/>
      <w:lvlJc w:val="left"/>
      <w:pPr>
        <w:tabs>
          <w:tab w:val="num" w:pos="1950"/>
        </w:tabs>
        <w:ind w:left="1950" w:hanging="870"/>
      </w:pPr>
      <w:rPr>
        <w:rFonts w:ascii="Times New Roman" w:eastAsia="Times New Roman" w:hAnsi="Times New Roman" w:cs="Times New Roman" w:hint="default"/>
      </w:rPr>
    </w:lvl>
    <w:lvl w:ilvl="2" w:tplc="CB68147E" w:tentative="1">
      <w:start w:val="1"/>
      <w:numFmt w:val="bullet"/>
      <w:lvlText w:val=""/>
      <w:lvlJc w:val="left"/>
      <w:pPr>
        <w:tabs>
          <w:tab w:val="num" w:pos="2160"/>
        </w:tabs>
        <w:ind w:left="2160" w:hanging="360"/>
      </w:pPr>
      <w:rPr>
        <w:rFonts w:ascii="Wingdings" w:hAnsi="Wingdings" w:hint="default"/>
      </w:rPr>
    </w:lvl>
    <w:lvl w:ilvl="3" w:tplc="72C2DC1E" w:tentative="1">
      <w:start w:val="1"/>
      <w:numFmt w:val="bullet"/>
      <w:lvlText w:val=""/>
      <w:lvlJc w:val="left"/>
      <w:pPr>
        <w:tabs>
          <w:tab w:val="num" w:pos="2880"/>
        </w:tabs>
        <w:ind w:left="2880" w:hanging="360"/>
      </w:pPr>
      <w:rPr>
        <w:rFonts w:ascii="Symbol" w:hAnsi="Symbol" w:hint="default"/>
      </w:rPr>
    </w:lvl>
    <w:lvl w:ilvl="4" w:tplc="13285936" w:tentative="1">
      <w:start w:val="1"/>
      <w:numFmt w:val="bullet"/>
      <w:lvlText w:val="o"/>
      <w:lvlJc w:val="left"/>
      <w:pPr>
        <w:tabs>
          <w:tab w:val="num" w:pos="3600"/>
        </w:tabs>
        <w:ind w:left="3600" w:hanging="360"/>
      </w:pPr>
      <w:rPr>
        <w:rFonts w:ascii="Courier New" w:hAnsi="Courier New" w:hint="default"/>
      </w:rPr>
    </w:lvl>
    <w:lvl w:ilvl="5" w:tplc="EE3AB306" w:tentative="1">
      <w:start w:val="1"/>
      <w:numFmt w:val="bullet"/>
      <w:lvlText w:val=""/>
      <w:lvlJc w:val="left"/>
      <w:pPr>
        <w:tabs>
          <w:tab w:val="num" w:pos="4320"/>
        </w:tabs>
        <w:ind w:left="4320" w:hanging="360"/>
      </w:pPr>
      <w:rPr>
        <w:rFonts w:ascii="Wingdings" w:hAnsi="Wingdings" w:hint="default"/>
      </w:rPr>
    </w:lvl>
    <w:lvl w:ilvl="6" w:tplc="74BCD858" w:tentative="1">
      <w:start w:val="1"/>
      <w:numFmt w:val="bullet"/>
      <w:lvlText w:val=""/>
      <w:lvlJc w:val="left"/>
      <w:pPr>
        <w:tabs>
          <w:tab w:val="num" w:pos="5040"/>
        </w:tabs>
        <w:ind w:left="5040" w:hanging="360"/>
      </w:pPr>
      <w:rPr>
        <w:rFonts w:ascii="Symbol" w:hAnsi="Symbol" w:hint="default"/>
      </w:rPr>
    </w:lvl>
    <w:lvl w:ilvl="7" w:tplc="4134DAD0" w:tentative="1">
      <w:start w:val="1"/>
      <w:numFmt w:val="bullet"/>
      <w:lvlText w:val="o"/>
      <w:lvlJc w:val="left"/>
      <w:pPr>
        <w:tabs>
          <w:tab w:val="num" w:pos="5760"/>
        </w:tabs>
        <w:ind w:left="5760" w:hanging="360"/>
      </w:pPr>
      <w:rPr>
        <w:rFonts w:ascii="Courier New" w:hAnsi="Courier New" w:hint="default"/>
      </w:rPr>
    </w:lvl>
    <w:lvl w:ilvl="8" w:tplc="0DAAB52C"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3"/>
  </w:num>
  <w:num w:numId="3">
    <w:abstractNumId w:val="12"/>
  </w:num>
  <w:num w:numId="4">
    <w:abstractNumId w:val="7"/>
  </w:num>
  <w:num w:numId="5">
    <w:abstractNumId w:val="4"/>
  </w:num>
  <w:num w:numId="6">
    <w:abstractNumId w:val="19"/>
  </w:num>
  <w:num w:numId="7">
    <w:abstractNumId w:val="6"/>
  </w:num>
  <w:num w:numId="8">
    <w:abstractNumId w:val="11"/>
  </w:num>
  <w:num w:numId="9">
    <w:abstractNumId w:val="21"/>
  </w:num>
  <w:num w:numId="10">
    <w:abstractNumId w:val="20"/>
  </w:num>
  <w:num w:numId="11">
    <w:abstractNumId w:val="10"/>
  </w:num>
  <w:num w:numId="12">
    <w:abstractNumId w:val="22"/>
  </w:num>
  <w:num w:numId="13">
    <w:abstractNumId w:val="16"/>
  </w:num>
  <w:num w:numId="14">
    <w:abstractNumId w:val="14"/>
  </w:num>
  <w:num w:numId="15">
    <w:abstractNumId w:val="5"/>
  </w:num>
  <w:num w:numId="16">
    <w:abstractNumId w:val="15"/>
  </w:num>
  <w:num w:numId="17">
    <w:abstractNumId w:val="18"/>
  </w:num>
  <w:num w:numId="18">
    <w:abstractNumId w:val="23"/>
  </w:num>
  <w:num w:numId="19">
    <w:abstractNumId w:val="3"/>
  </w:num>
  <w:num w:numId="20">
    <w:abstractNumId w:val="8"/>
  </w:num>
  <w:num w:numId="21">
    <w:abstractNumId w:val="17"/>
  </w:num>
  <w:num w:numId="22">
    <w:abstractNumId w:val="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noPunctuationKerning/>
  <w:characterSpacingControl w:val="doNotCompress"/>
  <w:hdrShapeDefaults>
    <o:shapedefaults v:ext="edit" spidmax="9218"/>
  </w:hdrShapeDefaults>
  <w:footnotePr>
    <w:footnote w:id="0"/>
    <w:footnote w:id="1"/>
  </w:footnotePr>
  <w:endnotePr>
    <w:endnote w:id="0"/>
    <w:endnote w:id="1"/>
  </w:endnotePr>
  <w:compat/>
  <w:rsids>
    <w:rsidRoot w:val="00235CB7"/>
    <w:rsid w:val="00001220"/>
    <w:rsid w:val="00006650"/>
    <w:rsid w:val="00006FC6"/>
    <w:rsid w:val="00007D8B"/>
    <w:rsid w:val="0001178F"/>
    <w:rsid w:val="00013824"/>
    <w:rsid w:val="00013C40"/>
    <w:rsid w:val="00014A35"/>
    <w:rsid w:val="000169D7"/>
    <w:rsid w:val="00022E5B"/>
    <w:rsid w:val="00026CE1"/>
    <w:rsid w:val="000309E3"/>
    <w:rsid w:val="00032DD8"/>
    <w:rsid w:val="00033141"/>
    <w:rsid w:val="000341B8"/>
    <w:rsid w:val="000402BA"/>
    <w:rsid w:val="000421EA"/>
    <w:rsid w:val="00043216"/>
    <w:rsid w:val="00043FB2"/>
    <w:rsid w:val="00045E30"/>
    <w:rsid w:val="0005128A"/>
    <w:rsid w:val="0005411A"/>
    <w:rsid w:val="00061128"/>
    <w:rsid w:val="00061618"/>
    <w:rsid w:val="000664A7"/>
    <w:rsid w:val="00066A7B"/>
    <w:rsid w:val="0007033C"/>
    <w:rsid w:val="00070EBA"/>
    <w:rsid w:val="00071E07"/>
    <w:rsid w:val="00072AED"/>
    <w:rsid w:val="000733AD"/>
    <w:rsid w:val="00073A3F"/>
    <w:rsid w:val="00073B21"/>
    <w:rsid w:val="0007403F"/>
    <w:rsid w:val="00074BFE"/>
    <w:rsid w:val="00076DF6"/>
    <w:rsid w:val="00080104"/>
    <w:rsid w:val="00083277"/>
    <w:rsid w:val="00092F09"/>
    <w:rsid w:val="00095E2F"/>
    <w:rsid w:val="000A1CEB"/>
    <w:rsid w:val="000A20C2"/>
    <w:rsid w:val="000A2110"/>
    <w:rsid w:val="000A772E"/>
    <w:rsid w:val="000B0B3F"/>
    <w:rsid w:val="000B2EBD"/>
    <w:rsid w:val="000B465D"/>
    <w:rsid w:val="000B50B6"/>
    <w:rsid w:val="000B6D56"/>
    <w:rsid w:val="000C067E"/>
    <w:rsid w:val="000C1B24"/>
    <w:rsid w:val="000C24F6"/>
    <w:rsid w:val="000C7E75"/>
    <w:rsid w:val="000D09E5"/>
    <w:rsid w:val="000D243F"/>
    <w:rsid w:val="000E15C7"/>
    <w:rsid w:val="000E3F6A"/>
    <w:rsid w:val="000E659F"/>
    <w:rsid w:val="000E6CA2"/>
    <w:rsid w:val="000F1378"/>
    <w:rsid w:val="000F1695"/>
    <w:rsid w:val="000F2447"/>
    <w:rsid w:val="000F7EE6"/>
    <w:rsid w:val="001065D5"/>
    <w:rsid w:val="00110E68"/>
    <w:rsid w:val="00125F5D"/>
    <w:rsid w:val="00127A4A"/>
    <w:rsid w:val="001356B8"/>
    <w:rsid w:val="0013752D"/>
    <w:rsid w:val="00141821"/>
    <w:rsid w:val="001420E5"/>
    <w:rsid w:val="00147EE0"/>
    <w:rsid w:val="001536B1"/>
    <w:rsid w:val="00153C73"/>
    <w:rsid w:val="00154583"/>
    <w:rsid w:val="00154DC9"/>
    <w:rsid w:val="00160636"/>
    <w:rsid w:val="0016564A"/>
    <w:rsid w:val="00166463"/>
    <w:rsid w:val="00167A9B"/>
    <w:rsid w:val="00167E32"/>
    <w:rsid w:val="001713A8"/>
    <w:rsid w:val="001819B9"/>
    <w:rsid w:val="00185376"/>
    <w:rsid w:val="0019409A"/>
    <w:rsid w:val="00196E98"/>
    <w:rsid w:val="001A0361"/>
    <w:rsid w:val="001A2630"/>
    <w:rsid w:val="001A2C8E"/>
    <w:rsid w:val="001A2FBD"/>
    <w:rsid w:val="001A392D"/>
    <w:rsid w:val="001A7988"/>
    <w:rsid w:val="001A7F22"/>
    <w:rsid w:val="001B6AE4"/>
    <w:rsid w:val="001B7882"/>
    <w:rsid w:val="001D2AA6"/>
    <w:rsid w:val="001F1EB2"/>
    <w:rsid w:val="001F4ADC"/>
    <w:rsid w:val="001F5BA8"/>
    <w:rsid w:val="001F61B0"/>
    <w:rsid w:val="00200D50"/>
    <w:rsid w:val="00200E40"/>
    <w:rsid w:val="00204B19"/>
    <w:rsid w:val="0021296D"/>
    <w:rsid w:val="0021513B"/>
    <w:rsid w:val="00216706"/>
    <w:rsid w:val="00221479"/>
    <w:rsid w:val="00224B07"/>
    <w:rsid w:val="00225195"/>
    <w:rsid w:val="00230054"/>
    <w:rsid w:val="00231063"/>
    <w:rsid w:val="00231071"/>
    <w:rsid w:val="00235C97"/>
    <w:rsid w:val="00235CB7"/>
    <w:rsid w:val="00236947"/>
    <w:rsid w:val="002401CB"/>
    <w:rsid w:val="00240C8C"/>
    <w:rsid w:val="00240ED8"/>
    <w:rsid w:val="00246248"/>
    <w:rsid w:val="00246E8F"/>
    <w:rsid w:val="002509AC"/>
    <w:rsid w:val="00250A79"/>
    <w:rsid w:val="00250B4C"/>
    <w:rsid w:val="00251EB0"/>
    <w:rsid w:val="00254F1D"/>
    <w:rsid w:val="0025661C"/>
    <w:rsid w:val="00256758"/>
    <w:rsid w:val="002615A3"/>
    <w:rsid w:val="00266E03"/>
    <w:rsid w:val="00267C48"/>
    <w:rsid w:val="00275293"/>
    <w:rsid w:val="00281755"/>
    <w:rsid w:val="00286DD8"/>
    <w:rsid w:val="00287C2E"/>
    <w:rsid w:val="0029114F"/>
    <w:rsid w:val="00293586"/>
    <w:rsid w:val="00294813"/>
    <w:rsid w:val="002979BD"/>
    <w:rsid w:val="00297BAC"/>
    <w:rsid w:val="002A198D"/>
    <w:rsid w:val="002A2785"/>
    <w:rsid w:val="002A35ED"/>
    <w:rsid w:val="002A49A4"/>
    <w:rsid w:val="002B53A0"/>
    <w:rsid w:val="002B78CA"/>
    <w:rsid w:val="002C2650"/>
    <w:rsid w:val="002C47FB"/>
    <w:rsid w:val="002D2220"/>
    <w:rsid w:val="002D5646"/>
    <w:rsid w:val="002E029C"/>
    <w:rsid w:val="002E155C"/>
    <w:rsid w:val="002E1852"/>
    <w:rsid w:val="002E2444"/>
    <w:rsid w:val="002E540C"/>
    <w:rsid w:val="002E56EE"/>
    <w:rsid w:val="002E6358"/>
    <w:rsid w:val="002F5F73"/>
    <w:rsid w:val="00302482"/>
    <w:rsid w:val="00302487"/>
    <w:rsid w:val="00302BF0"/>
    <w:rsid w:val="0030333D"/>
    <w:rsid w:val="00306BB8"/>
    <w:rsid w:val="0031252A"/>
    <w:rsid w:val="0031325D"/>
    <w:rsid w:val="00315D7E"/>
    <w:rsid w:val="0031678C"/>
    <w:rsid w:val="00317E89"/>
    <w:rsid w:val="0032242D"/>
    <w:rsid w:val="00322D4E"/>
    <w:rsid w:val="00322E72"/>
    <w:rsid w:val="00324697"/>
    <w:rsid w:val="003257B4"/>
    <w:rsid w:val="003356F0"/>
    <w:rsid w:val="00337951"/>
    <w:rsid w:val="00340874"/>
    <w:rsid w:val="00340F5F"/>
    <w:rsid w:val="0034155F"/>
    <w:rsid w:val="00344B8B"/>
    <w:rsid w:val="00351A7B"/>
    <w:rsid w:val="00352C1B"/>
    <w:rsid w:val="00353612"/>
    <w:rsid w:val="00362837"/>
    <w:rsid w:val="0036574A"/>
    <w:rsid w:val="003679C0"/>
    <w:rsid w:val="00376CB9"/>
    <w:rsid w:val="00384367"/>
    <w:rsid w:val="00386316"/>
    <w:rsid w:val="0038762D"/>
    <w:rsid w:val="00390B6F"/>
    <w:rsid w:val="00392384"/>
    <w:rsid w:val="00395D1D"/>
    <w:rsid w:val="00397025"/>
    <w:rsid w:val="003A0737"/>
    <w:rsid w:val="003A1C39"/>
    <w:rsid w:val="003A48F3"/>
    <w:rsid w:val="003B1318"/>
    <w:rsid w:val="003B1880"/>
    <w:rsid w:val="003B6CAB"/>
    <w:rsid w:val="003B7D58"/>
    <w:rsid w:val="003B7E7A"/>
    <w:rsid w:val="003C2D4B"/>
    <w:rsid w:val="003C7873"/>
    <w:rsid w:val="003D49B5"/>
    <w:rsid w:val="003D6C93"/>
    <w:rsid w:val="003D7183"/>
    <w:rsid w:val="003E1F22"/>
    <w:rsid w:val="003F3ECB"/>
    <w:rsid w:val="003F5823"/>
    <w:rsid w:val="003F629C"/>
    <w:rsid w:val="00401AA6"/>
    <w:rsid w:val="00402A8F"/>
    <w:rsid w:val="00403539"/>
    <w:rsid w:val="004045FB"/>
    <w:rsid w:val="00404CA1"/>
    <w:rsid w:val="00405353"/>
    <w:rsid w:val="00405D05"/>
    <w:rsid w:val="00411D8A"/>
    <w:rsid w:val="004169FA"/>
    <w:rsid w:val="0042120D"/>
    <w:rsid w:val="00424EB2"/>
    <w:rsid w:val="00425461"/>
    <w:rsid w:val="0042574B"/>
    <w:rsid w:val="00427198"/>
    <w:rsid w:val="004321A5"/>
    <w:rsid w:val="00434844"/>
    <w:rsid w:val="00435746"/>
    <w:rsid w:val="004363FF"/>
    <w:rsid w:val="00440924"/>
    <w:rsid w:val="00444FD6"/>
    <w:rsid w:val="00445006"/>
    <w:rsid w:val="00445008"/>
    <w:rsid w:val="00447B4A"/>
    <w:rsid w:val="004565E5"/>
    <w:rsid w:val="00457EEA"/>
    <w:rsid w:val="00460520"/>
    <w:rsid w:val="004611A7"/>
    <w:rsid w:val="004612FD"/>
    <w:rsid w:val="00462F35"/>
    <w:rsid w:val="00464077"/>
    <w:rsid w:val="00467A81"/>
    <w:rsid w:val="004707D2"/>
    <w:rsid w:val="00473043"/>
    <w:rsid w:val="00473F5E"/>
    <w:rsid w:val="00480A4E"/>
    <w:rsid w:val="00481EF7"/>
    <w:rsid w:val="0048210B"/>
    <w:rsid w:val="00484C2E"/>
    <w:rsid w:val="00485EA0"/>
    <w:rsid w:val="00487FB4"/>
    <w:rsid w:val="00492D98"/>
    <w:rsid w:val="004945B6"/>
    <w:rsid w:val="004945C4"/>
    <w:rsid w:val="00495D54"/>
    <w:rsid w:val="004A06C4"/>
    <w:rsid w:val="004A5647"/>
    <w:rsid w:val="004A5BE0"/>
    <w:rsid w:val="004A7EB7"/>
    <w:rsid w:val="004B191D"/>
    <w:rsid w:val="004B3477"/>
    <w:rsid w:val="004B7A27"/>
    <w:rsid w:val="004C15C1"/>
    <w:rsid w:val="004C78C9"/>
    <w:rsid w:val="004D16F1"/>
    <w:rsid w:val="004D2EC9"/>
    <w:rsid w:val="004D48B3"/>
    <w:rsid w:val="004D7EBA"/>
    <w:rsid w:val="004E51A4"/>
    <w:rsid w:val="004F033F"/>
    <w:rsid w:val="004F09A2"/>
    <w:rsid w:val="004F1FED"/>
    <w:rsid w:val="004F370A"/>
    <w:rsid w:val="004F5B71"/>
    <w:rsid w:val="0050528C"/>
    <w:rsid w:val="00505903"/>
    <w:rsid w:val="00506957"/>
    <w:rsid w:val="00507246"/>
    <w:rsid w:val="00511D54"/>
    <w:rsid w:val="005141A1"/>
    <w:rsid w:val="00514698"/>
    <w:rsid w:val="00515EB3"/>
    <w:rsid w:val="0051635F"/>
    <w:rsid w:val="00524603"/>
    <w:rsid w:val="00531876"/>
    <w:rsid w:val="00533CF4"/>
    <w:rsid w:val="00540FA9"/>
    <w:rsid w:val="00542A65"/>
    <w:rsid w:val="00542CE5"/>
    <w:rsid w:val="00543E00"/>
    <w:rsid w:val="005512B5"/>
    <w:rsid w:val="00551885"/>
    <w:rsid w:val="00562DEC"/>
    <w:rsid w:val="0056320F"/>
    <w:rsid w:val="005633CB"/>
    <w:rsid w:val="00563DBC"/>
    <w:rsid w:val="00566DB0"/>
    <w:rsid w:val="00571116"/>
    <w:rsid w:val="00571770"/>
    <w:rsid w:val="00571A19"/>
    <w:rsid w:val="00572F50"/>
    <w:rsid w:val="00576B76"/>
    <w:rsid w:val="00576C5B"/>
    <w:rsid w:val="00577F8D"/>
    <w:rsid w:val="00586308"/>
    <w:rsid w:val="00586B82"/>
    <w:rsid w:val="00587E1C"/>
    <w:rsid w:val="0059053A"/>
    <w:rsid w:val="00590BF3"/>
    <w:rsid w:val="00594E6B"/>
    <w:rsid w:val="00595271"/>
    <w:rsid w:val="005A04CB"/>
    <w:rsid w:val="005A054A"/>
    <w:rsid w:val="005A3380"/>
    <w:rsid w:val="005A4108"/>
    <w:rsid w:val="005A455B"/>
    <w:rsid w:val="005A5356"/>
    <w:rsid w:val="005B3AF9"/>
    <w:rsid w:val="005B3DF1"/>
    <w:rsid w:val="005B41AB"/>
    <w:rsid w:val="005B58D4"/>
    <w:rsid w:val="005B6134"/>
    <w:rsid w:val="005B6714"/>
    <w:rsid w:val="005B7BB4"/>
    <w:rsid w:val="005B7C20"/>
    <w:rsid w:val="005C0150"/>
    <w:rsid w:val="005C2E3A"/>
    <w:rsid w:val="005C376B"/>
    <w:rsid w:val="005C5E54"/>
    <w:rsid w:val="005C77A9"/>
    <w:rsid w:val="005D0CC6"/>
    <w:rsid w:val="005D141B"/>
    <w:rsid w:val="005D181D"/>
    <w:rsid w:val="005D3F08"/>
    <w:rsid w:val="005E012B"/>
    <w:rsid w:val="005F07E7"/>
    <w:rsid w:val="005F505D"/>
    <w:rsid w:val="005F7B2A"/>
    <w:rsid w:val="0060381F"/>
    <w:rsid w:val="006058BB"/>
    <w:rsid w:val="0061246F"/>
    <w:rsid w:val="006136AF"/>
    <w:rsid w:val="006169EC"/>
    <w:rsid w:val="00617449"/>
    <w:rsid w:val="00623329"/>
    <w:rsid w:val="006247B1"/>
    <w:rsid w:val="00625E9E"/>
    <w:rsid w:val="00627751"/>
    <w:rsid w:val="00627EC0"/>
    <w:rsid w:val="006356D8"/>
    <w:rsid w:val="006358D0"/>
    <w:rsid w:val="006377D7"/>
    <w:rsid w:val="00640478"/>
    <w:rsid w:val="00641272"/>
    <w:rsid w:val="00645E06"/>
    <w:rsid w:val="006512BF"/>
    <w:rsid w:val="00651DA7"/>
    <w:rsid w:val="006526DD"/>
    <w:rsid w:val="006530B1"/>
    <w:rsid w:val="00654D91"/>
    <w:rsid w:val="00663434"/>
    <w:rsid w:val="006761DA"/>
    <w:rsid w:val="00676760"/>
    <w:rsid w:val="0068162D"/>
    <w:rsid w:val="006915F3"/>
    <w:rsid w:val="00693AE5"/>
    <w:rsid w:val="006A1C58"/>
    <w:rsid w:val="006A2D92"/>
    <w:rsid w:val="006B147E"/>
    <w:rsid w:val="006B17E8"/>
    <w:rsid w:val="006B226B"/>
    <w:rsid w:val="006B3274"/>
    <w:rsid w:val="006B3B1E"/>
    <w:rsid w:val="006B3ED2"/>
    <w:rsid w:val="006B5489"/>
    <w:rsid w:val="006B6875"/>
    <w:rsid w:val="006B7694"/>
    <w:rsid w:val="006B7AB5"/>
    <w:rsid w:val="006C378E"/>
    <w:rsid w:val="006C3B49"/>
    <w:rsid w:val="006C4E46"/>
    <w:rsid w:val="006D295F"/>
    <w:rsid w:val="006D6303"/>
    <w:rsid w:val="006D70B9"/>
    <w:rsid w:val="006D7E4C"/>
    <w:rsid w:val="006E0F26"/>
    <w:rsid w:val="006E1ABB"/>
    <w:rsid w:val="006E3F8E"/>
    <w:rsid w:val="006E4249"/>
    <w:rsid w:val="006E43A2"/>
    <w:rsid w:val="006E48D8"/>
    <w:rsid w:val="006E5177"/>
    <w:rsid w:val="006E6EF7"/>
    <w:rsid w:val="006E72FB"/>
    <w:rsid w:val="006F1822"/>
    <w:rsid w:val="006F1E9A"/>
    <w:rsid w:val="00702D1D"/>
    <w:rsid w:val="0071088A"/>
    <w:rsid w:val="007134DD"/>
    <w:rsid w:val="00715528"/>
    <w:rsid w:val="00715ABA"/>
    <w:rsid w:val="007177AB"/>
    <w:rsid w:val="00717C28"/>
    <w:rsid w:val="00723D99"/>
    <w:rsid w:val="00724D27"/>
    <w:rsid w:val="0072505E"/>
    <w:rsid w:val="00726EEC"/>
    <w:rsid w:val="00733B97"/>
    <w:rsid w:val="00733E7B"/>
    <w:rsid w:val="00736034"/>
    <w:rsid w:val="00736611"/>
    <w:rsid w:val="00741026"/>
    <w:rsid w:val="00742A9C"/>
    <w:rsid w:val="00743F67"/>
    <w:rsid w:val="00744702"/>
    <w:rsid w:val="00746D10"/>
    <w:rsid w:val="00752273"/>
    <w:rsid w:val="00752CAF"/>
    <w:rsid w:val="007544AB"/>
    <w:rsid w:val="00756972"/>
    <w:rsid w:val="00762B37"/>
    <w:rsid w:val="0076360E"/>
    <w:rsid w:val="00765B7B"/>
    <w:rsid w:val="007720F0"/>
    <w:rsid w:val="00773113"/>
    <w:rsid w:val="00775E65"/>
    <w:rsid w:val="00776208"/>
    <w:rsid w:val="00776DE8"/>
    <w:rsid w:val="00791EE9"/>
    <w:rsid w:val="007923B4"/>
    <w:rsid w:val="007930EE"/>
    <w:rsid w:val="0079599F"/>
    <w:rsid w:val="00796A67"/>
    <w:rsid w:val="0079797B"/>
    <w:rsid w:val="007A1905"/>
    <w:rsid w:val="007A2B81"/>
    <w:rsid w:val="007A3155"/>
    <w:rsid w:val="007B25A0"/>
    <w:rsid w:val="007B2BF7"/>
    <w:rsid w:val="007B3B42"/>
    <w:rsid w:val="007C08EB"/>
    <w:rsid w:val="007C54D7"/>
    <w:rsid w:val="007C6F99"/>
    <w:rsid w:val="007C7105"/>
    <w:rsid w:val="007D3732"/>
    <w:rsid w:val="007D6C15"/>
    <w:rsid w:val="007E0DA6"/>
    <w:rsid w:val="007E486C"/>
    <w:rsid w:val="007E502C"/>
    <w:rsid w:val="007E6F22"/>
    <w:rsid w:val="007E71B0"/>
    <w:rsid w:val="007F6317"/>
    <w:rsid w:val="008116B4"/>
    <w:rsid w:val="00811AAD"/>
    <w:rsid w:val="00811B6D"/>
    <w:rsid w:val="00812D90"/>
    <w:rsid w:val="008135E2"/>
    <w:rsid w:val="00814AED"/>
    <w:rsid w:val="00814B7B"/>
    <w:rsid w:val="0082002A"/>
    <w:rsid w:val="00821D27"/>
    <w:rsid w:val="0082285A"/>
    <w:rsid w:val="00827408"/>
    <w:rsid w:val="0082794F"/>
    <w:rsid w:val="00827B4A"/>
    <w:rsid w:val="008300D1"/>
    <w:rsid w:val="00830197"/>
    <w:rsid w:val="00837452"/>
    <w:rsid w:val="008433D9"/>
    <w:rsid w:val="0084544A"/>
    <w:rsid w:val="008459F4"/>
    <w:rsid w:val="00846015"/>
    <w:rsid w:val="00847FCF"/>
    <w:rsid w:val="00851351"/>
    <w:rsid w:val="0085362E"/>
    <w:rsid w:val="00854CC8"/>
    <w:rsid w:val="00860D19"/>
    <w:rsid w:val="00861BF1"/>
    <w:rsid w:val="008643F5"/>
    <w:rsid w:val="00864F9A"/>
    <w:rsid w:val="0086765D"/>
    <w:rsid w:val="00870C62"/>
    <w:rsid w:val="0087415A"/>
    <w:rsid w:val="00874968"/>
    <w:rsid w:val="00875607"/>
    <w:rsid w:val="00875F3B"/>
    <w:rsid w:val="00881AB3"/>
    <w:rsid w:val="00881E82"/>
    <w:rsid w:val="00893AAF"/>
    <w:rsid w:val="00897881"/>
    <w:rsid w:val="008A0CCD"/>
    <w:rsid w:val="008A0DC4"/>
    <w:rsid w:val="008A4615"/>
    <w:rsid w:val="008A6579"/>
    <w:rsid w:val="008A6CCD"/>
    <w:rsid w:val="008B06BF"/>
    <w:rsid w:val="008B20ED"/>
    <w:rsid w:val="008B3881"/>
    <w:rsid w:val="008B7BD3"/>
    <w:rsid w:val="008C122C"/>
    <w:rsid w:val="008C458A"/>
    <w:rsid w:val="008C54A9"/>
    <w:rsid w:val="008D2140"/>
    <w:rsid w:val="008D2388"/>
    <w:rsid w:val="008D2B26"/>
    <w:rsid w:val="008D48E6"/>
    <w:rsid w:val="008D7F5E"/>
    <w:rsid w:val="008E151F"/>
    <w:rsid w:val="008E3CB1"/>
    <w:rsid w:val="008E6A8B"/>
    <w:rsid w:val="008F05E6"/>
    <w:rsid w:val="008F5D79"/>
    <w:rsid w:val="008F77E4"/>
    <w:rsid w:val="009005A2"/>
    <w:rsid w:val="0090110B"/>
    <w:rsid w:val="009018FB"/>
    <w:rsid w:val="00903D6D"/>
    <w:rsid w:val="00905100"/>
    <w:rsid w:val="00913712"/>
    <w:rsid w:val="00914066"/>
    <w:rsid w:val="00914FDA"/>
    <w:rsid w:val="009176B5"/>
    <w:rsid w:val="00917F0B"/>
    <w:rsid w:val="00921BEB"/>
    <w:rsid w:val="00923A66"/>
    <w:rsid w:val="00926E81"/>
    <w:rsid w:val="0093172B"/>
    <w:rsid w:val="00931DA7"/>
    <w:rsid w:val="00935F6E"/>
    <w:rsid w:val="009475AE"/>
    <w:rsid w:val="00950700"/>
    <w:rsid w:val="00951981"/>
    <w:rsid w:val="00952681"/>
    <w:rsid w:val="009536E1"/>
    <w:rsid w:val="009537E6"/>
    <w:rsid w:val="00954038"/>
    <w:rsid w:val="0095418D"/>
    <w:rsid w:val="00957DE8"/>
    <w:rsid w:val="00960587"/>
    <w:rsid w:val="00960939"/>
    <w:rsid w:val="00963297"/>
    <w:rsid w:val="0096735C"/>
    <w:rsid w:val="00970FAE"/>
    <w:rsid w:val="0098253E"/>
    <w:rsid w:val="009858D6"/>
    <w:rsid w:val="0098753D"/>
    <w:rsid w:val="009901FE"/>
    <w:rsid w:val="009920F9"/>
    <w:rsid w:val="00992504"/>
    <w:rsid w:val="00993750"/>
    <w:rsid w:val="009A4ADD"/>
    <w:rsid w:val="009A79E6"/>
    <w:rsid w:val="009B0FA1"/>
    <w:rsid w:val="009B1787"/>
    <w:rsid w:val="009B2ABB"/>
    <w:rsid w:val="009B3998"/>
    <w:rsid w:val="009B6D98"/>
    <w:rsid w:val="009C1F45"/>
    <w:rsid w:val="009C1F5A"/>
    <w:rsid w:val="009D0FAF"/>
    <w:rsid w:val="009D1907"/>
    <w:rsid w:val="009D1E06"/>
    <w:rsid w:val="009D21B8"/>
    <w:rsid w:val="009D25F4"/>
    <w:rsid w:val="009E12A5"/>
    <w:rsid w:val="009E1FF4"/>
    <w:rsid w:val="009E60A5"/>
    <w:rsid w:val="009F45CD"/>
    <w:rsid w:val="009F7C35"/>
    <w:rsid w:val="009F7E9C"/>
    <w:rsid w:val="00A002D1"/>
    <w:rsid w:val="00A00D48"/>
    <w:rsid w:val="00A04E36"/>
    <w:rsid w:val="00A06E95"/>
    <w:rsid w:val="00A07174"/>
    <w:rsid w:val="00A114B1"/>
    <w:rsid w:val="00A1346D"/>
    <w:rsid w:val="00A1411D"/>
    <w:rsid w:val="00A207C1"/>
    <w:rsid w:val="00A208D5"/>
    <w:rsid w:val="00A219E3"/>
    <w:rsid w:val="00A21F81"/>
    <w:rsid w:val="00A24A56"/>
    <w:rsid w:val="00A253CC"/>
    <w:rsid w:val="00A25BAF"/>
    <w:rsid w:val="00A26F37"/>
    <w:rsid w:val="00A30492"/>
    <w:rsid w:val="00A3073C"/>
    <w:rsid w:val="00A30957"/>
    <w:rsid w:val="00A325F9"/>
    <w:rsid w:val="00A3340E"/>
    <w:rsid w:val="00A347E1"/>
    <w:rsid w:val="00A3564C"/>
    <w:rsid w:val="00A366B0"/>
    <w:rsid w:val="00A40059"/>
    <w:rsid w:val="00A4096D"/>
    <w:rsid w:val="00A4393A"/>
    <w:rsid w:val="00A44824"/>
    <w:rsid w:val="00A46717"/>
    <w:rsid w:val="00A5637C"/>
    <w:rsid w:val="00A575E6"/>
    <w:rsid w:val="00A6012A"/>
    <w:rsid w:val="00A6117E"/>
    <w:rsid w:val="00A66B6D"/>
    <w:rsid w:val="00A72022"/>
    <w:rsid w:val="00A73ED8"/>
    <w:rsid w:val="00A8255F"/>
    <w:rsid w:val="00A84F96"/>
    <w:rsid w:val="00A90642"/>
    <w:rsid w:val="00A94384"/>
    <w:rsid w:val="00AA0857"/>
    <w:rsid w:val="00AA3FAE"/>
    <w:rsid w:val="00AA4D64"/>
    <w:rsid w:val="00AA51EF"/>
    <w:rsid w:val="00AA7581"/>
    <w:rsid w:val="00AB3782"/>
    <w:rsid w:val="00AB38AD"/>
    <w:rsid w:val="00AC1283"/>
    <w:rsid w:val="00AC2439"/>
    <w:rsid w:val="00AC4584"/>
    <w:rsid w:val="00AC7D75"/>
    <w:rsid w:val="00AD1A52"/>
    <w:rsid w:val="00AD3FD4"/>
    <w:rsid w:val="00AD5C8E"/>
    <w:rsid w:val="00AD60FB"/>
    <w:rsid w:val="00AD628A"/>
    <w:rsid w:val="00AE1D39"/>
    <w:rsid w:val="00AE291C"/>
    <w:rsid w:val="00AE395F"/>
    <w:rsid w:val="00AE5836"/>
    <w:rsid w:val="00AE5D8D"/>
    <w:rsid w:val="00AF0825"/>
    <w:rsid w:val="00AF0E09"/>
    <w:rsid w:val="00AF2C8F"/>
    <w:rsid w:val="00AF355F"/>
    <w:rsid w:val="00AF43C9"/>
    <w:rsid w:val="00AF441C"/>
    <w:rsid w:val="00AF544A"/>
    <w:rsid w:val="00B02A59"/>
    <w:rsid w:val="00B036B5"/>
    <w:rsid w:val="00B07912"/>
    <w:rsid w:val="00B1142F"/>
    <w:rsid w:val="00B15CDB"/>
    <w:rsid w:val="00B17FBA"/>
    <w:rsid w:val="00B21455"/>
    <w:rsid w:val="00B216CE"/>
    <w:rsid w:val="00B32346"/>
    <w:rsid w:val="00B3283B"/>
    <w:rsid w:val="00B42669"/>
    <w:rsid w:val="00B42FEE"/>
    <w:rsid w:val="00B43AEF"/>
    <w:rsid w:val="00B50FAC"/>
    <w:rsid w:val="00B51C18"/>
    <w:rsid w:val="00B534AB"/>
    <w:rsid w:val="00B536ED"/>
    <w:rsid w:val="00B5482A"/>
    <w:rsid w:val="00B551BE"/>
    <w:rsid w:val="00B57058"/>
    <w:rsid w:val="00B701D1"/>
    <w:rsid w:val="00B712DB"/>
    <w:rsid w:val="00B752C7"/>
    <w:rsid w:val="00B80BBC"/>
    <w:rsid w:val="00B839F8"/>
    <w:rsid w:val="00B84273"/>
    <w:rsid w:val="00B9205C"/>
    <w:rsid w:val="00B952A6"/>
    <w:rsid w:val="00B95E56"/>
    <w:rsid w:val="00B96D11"/>
    <w:rsid w:val="00BA0C16"/>
    <w:rsid w:val="00BA13EF"/>
    <w:rsid w:val="00BA226A"/>
    <w:rsid w:val="00BA5483"/>
    <w:rsid w:val="00BC1FA8"/>
    <w:rsid w:val="00BC2FB9"/>
    <w:rsid w:val="00BC3F2E"/>
    <w:rsid w:val="00BC4469"/>
    <w:rsid w:val="00BC4C1C"/>
    <w:rsid w:val="00BC4FB8"/>
    <w:rsid w:val="00BD0273"/>
    <w:rsid w:val="00BD1BEC"/>
    <w:rsid w:val="00BD39A3"/>
    <w:rsid w:val="00BD4A9F"/>
    <w:rsid w:val="00BD5761"/>
    <w:rsid w:val="00BD7302"/>
    <w:rsid w:val="00BD7A15"/>
    <w:rsid w:val="00BE3A63"/>
    <w:rsid w:val="00BE4CAA"/>
    <w:rsid w:val="00BE5E4F"/>
    <w:rsid w:val="00BE6417"/>
    <w:rsid w:val="00BE6EB1"/>
    <w:rsid w:val="00BF59C2"/>
    <w:rsid w:val="00BF6CF7"/>
    <w:rsid w:val="00C010EA"/>
    <w:rsid w:val="00C027ED"/>
    <w:rsid w:val="00C04A5F"/>
    <w:rsid w:val="00C05C9A"/>
    <w:rsid w:val="00C062D6"/>
    <w:rsid w:val="00C154B5"/>
    <w:rsid w:val="00C17AA5"/>
    <w:rsid w:val="00C20648"/>
    <w:rsid w:val="00C2550C"/>
    <w:rsid w:val="00C25655"/>
    <w:rsid w:val="00C327EB"/>
    <w:rsid w:val="00C33E9A"/>
    <w:rsid w:val="00C35C88"/>
    <w:rsid w:val="00C41E84"/>
    <w:rsid w:val="00C422DE"/>
    <w:rsid w:val="00C438F3"/>
    <w:rsid w:val="00C47E1B"/>
    <w:rsid w:val="00C521AD"/>
    <w:rsid w:val="00C55B82"/>
    <w:rsid w:val="00C566C4"/>
    <w:rsid w:val="00C61385"/>
    <w:rsid w:val="00C6312B"/>
    <w:rsid w:val="00C64B05"/>
    <w:rsid w:val="00C667CC"/>
    <w:rsid w:val="00C71C39"/>
    <w:rsid w:val="00C7240A"/>
    <w:rsid w:val="00C74A2A"/>
    <w:rsid w:val="00C823A9"/>
    <w:rsid w:val="00C836B8"/>
    <w:rsid w:val="00C853EC"/>
    <w:rsid w:val="00C856D9"/>
    <w:rsid w:val="00C94864"/>
    <w:rsid w:val="00C94CFB"/>
    <w:rsid w:val="00CA2C08"/>
    <w:rsid w:val="00CA3C3E"/>
    <w:rsid w:val="00CA706A"/>
    <w:rsid w:val="00CB3D44"/>
    <w:rsid w:val="00CB4843"/>
    <w:rsid w:val="00CB6F4F"/>
    <w:rsid w:val="00CC03D4"/>
    <w:rsid w:val="00CC0D29"/>
    <w:rsid w:val="00CC4B9C"/>
    <w:rsid w:val="00CD1BCA"/>
    <w:rsid w:val="00CD3BE5"/>
    <w:rsid w:val="00CD5D06"/>
    <w:rsid w:val="00CD629E"/>
    <w:rsid w:val="00CD7591"/>
    <w:rsid w:val="00CE65DC"/>
    <w:rsid w:val="00CF62A4"/>
    <w:rsid w:val="00D01B1E"/>
    <w:rsid w:val="00D01F8F"/>
    <w:rsid w:val="00D03327"/>
    <w:rsid w:val="00D0423A"/>
    <w:rsid w:val="00D0434E"/>
    <w:rsid w:val="00D1166B"/>
    <w:rsid w:val="00D11FC8"/>
    <w:rsid w:val="00D22531"/>
    <w:rsid w:val="00D3243F"/>
    <w:rsid w:val="00D35CC0"/>
    <w:rsid w:val="00D35CF1"/>
    <w:rsid w:val="00D51A87"/>
    <w:rsid w:val="00D52940"/>
    <w:rsid w:val="00D53F84"/>
    <w:rsid w:val="00D576F3"/>
    <w:rsid w:val="00D6191A"/>
    <w:rsid w:val="00D62EE7"/>
    <w:rsid w:val="00D65EE6"/>
    <w:rsid w:val="00D709D2"/>
    <w:rsid w:val="00D75DFD"/>
    <w:rsid w:val="00D77251"/>
    <w:rsid w:val="00D77E40"/>
    <w:rsid w:val="00D84FF6"/>
    <w:rsid w:val="00D87C2B"/>
    <w:rsid w:val="00D901FC"/>
    <w:rsid w:val="00D9068F"/>
    <w:rsid w:val="00D90965"/>
    <w:rsid w:val="00D92259"/>
    <w:rsid w:val="00D95B53"/>
    <w:rsid w:val="00D9607E"/>
    <w:rsid w:val="00D97A54"/>
    <w:rsid w:val="00DA2726"/>
    <w:rsid w:val="00DA2A3E"/>
    <w:rsid w:val="00DA54E9"/>
    <w:rsid w:val="00DA6521"/>
    <w:rsid w:val="00DB081F"/>
    <w:rsid w:val="00DB39BD"/>
    <w:rsid w:val="00DB70BA"/>
    <w:rsid w:val="00DC5019"/>
    <w:rsid w:val="00DD0AD9"/>
    <w:rsid w:val="00DD2943"/>
    <w:rsid w:val="00DD3D9B"/>
    <w:rsid w:val="00DD4B37"/>
    <w:rsid w:val="00DD6F8C"/>
    <w:rsid w:val="00DE0FFF"/>
    <w:rsid w:val="00DE1FF5"/>
    <w:rsid w:val="00DE3A7E"/>
    <w:rsid w:val="00DE7278"/>
    <w:rsid w:val="00DF27F9"/>
    <w:rsid w:val="00DF6CD3"/>
    <w:rsid w:val="00E029D0"/>
    <w:rsid w:val="00E02D6C"/>
    <w:rsid w:val="00E03432"/>
    <w:rsid w:val="00E03CC9"/>
    <w:rsid w:val="00E0598B"/>
    <w:rsid w:val="00E07B8B"/>
    <w:rsid w:val="00E12DF0"/>
    <w:rsid w:val="00E20DE3"/>
    <w:rsid w:val="00E2133C"/>
    <w:rsid w:val="00E21D1F"/>
    <w:rsid w:val="00E22682"/>
    <w:rsid w:val="00E23A52"/>
    <w:rsid w:val="00E251A0"/>
    <w:rsid w:val="00E25E4F"/>
    <w:rsid w:val="00E278D1"/>
    <w:rsid w:val="00E36C5E"/>
    <w:rsid w:val="00E37B4E"/>
    <w:rsid w:val="00E45C52"/>
    <w:rsid w:val="00E47177"/>
    <w:rsid w:val="00E4759E"/>
    <w:rsid w:val="00E504D6"/>
    <w:rsid w:val="00E51868"/>
    <w:rsid w:val="00E53287"/>
    <w:rsid w:val="00E556E3"/>
    <w:rsid w:val="00E55AEE"/>
    <w:rsid w:val="00E55F5A"/>
    <w:rsid w:val="00E65D59"/>
    <w:rsid w:val="00E66BDB"/>
    <w:rsid w:val="00E7019D"/>
    <w:rsid w:val="00E71655"/>
    <w:rsid w:val="00E73857"/>
    <w:rsid w:val="00E73D27"/>
    <w:rsid w:val="00E744F6"/>
    <w:rsid w:val="00E74D13"/>
    <w:rsid w:val="00E76308"/>
    <w:rsid w:val="00E767A1"/>
    <w:rsid w:val="00E81FEF"/>
    <w:rsid w:val="00E85904"/>
    <w:rsid w:val="00E930FB"/>
    <w:rsid w:val="00E96D42"/>
    <w:rsid w:val="00EA0613"/>
    <w:rsid w:val="00EA3D02"/>
    <w:rsid w:val="00EA4C68"/>
    <w:rsid w:val="00EA4DA0"/>
    <w:rsid w:val="00EA5A35"/>
    <w:rsid w:val="00EA7319"/>
    <w:rsid w:val="00EB303B"/>
    <w:rsid w:val="00EB3F96"/>
    <w:rsid w:val="00EB64BC"/>
    <w:rsid w:val="00EC0748"/>
    <w:rsid w:val="00EC14C9"/>
    <w:rsid w:val="00EC2D91"/>
    <w:rsid w:val="00EC54E4"/>
    <w:rsid w:val="00EC6881"/>
    <w:rsid w:val="00ED0EFB"/>
    <w:rsid w:val="00ED1909"/>
    <w:rsid w:val="00ED1CE8"/>
    <w:rsid w:val="00EE0E5C"/>
    <w:rsid w:val="00EE6F5D"/>
    <w:rsid w:val="00EE70A5"/>
    <w:rsid w:val="00EE7D77"/>
    <w:rsid w:val="00EE7F20"/>
    <w:rsid w:val="00EF1359"/>
    <w:rsid w:val="00EF6FCB"/>
    <w:rsid w:val="00F009F8"/>
    <w:rsid w:val="00F00C2C"/>
    <w:rsid w:val="00F034EB"/>
    <w:rsid w:val="00F11577"/>
    <w:rsid w:val="00F15157"/>
    <w:rsid w:val="00F25790"/>
    <w:rsid w:val="00F279F2"/>
    <w:rsid w:val="00F326A4"/>
    <w:rsid w:val="00F33849"/>
    <w:rsid w:val="00F34AD0"/>
    <w:rsid w:val="00F35E11"/>
    <w:rsid w:val="00F37EAA"/>
    <w:rsid w:val="00F44A89"/>
    <w:rsid w:val="00F46084"/>
    <w:rsid w:val="00F514BB"/>
    <w:rsid w:val="00F51E19"/>
    <w:rsid w:val="00F6067D"/>
    <w:rsid w:val="00F606C9"/>
    <w:rsid w:val="00F629EE"/>
    <w:rsid w:val="00F62D77"/>
    <w:rsid w:val="00F664FB"/>
    <w:rsid w:val="00F66C70"/>
    <w:rsid w:val="00F728C6"/>
    <w:rsid w:val="00F728F0"/>
    <w:rsid w:val="00F72DB0"/>
    <w:rsid w:val="00F74390"/>
    <w:rsid w:val="00F74538"/>
    <w:rsid w:val="00F75F82"/>
    <w:rsid w:val="00F86831"/>
    <w:rsid w:val="00F86EAD"/>
    <w:rsid w:val="00F902B0"/>
    <w:rsid w:val="00F93EBD"/>
    <w:rsid w:val="00F9797B"/>
    <w:rsid w:val="00FA15ED"/>
    <w:rsid w:val="00FA5022"/>
    <w:rsid w:val="00FB01C1"/>
    <w:rsid w:val="00FB13DA"/>
    <w:rsid w:val="00FB2F6B"/>
    <w:rsid w:val="00FB690D"/>
    <w:rsid w:val="00FB6A12"/>
    <w:rsid w:val="00FC23D3"/>
    <w:rsid w:val="00FC2401"/>
    <w:rsid w:val="00FC32C8"/>
    <w:rsid w:val="00FC3715"/>
    <w:rsid w:val="00FC45D1"/>
    <w:rsid w:val="00FC5565"/>
    <w:rsid w:val="00FC6258"/>
    <w:rsid w:val="00FC7D63"/>
    <w:rsid w:val="00FD318D"/>
    <w:rsid w:val="00FD4665"/>
    <w:rsid w:val="00FD4886"/>
    <w:rsid w:val="00FD5DBA"/>
    <w:rsid w:val="00FE12B4"/>
    <w:rsid w:val="00FE176B"/>
    <w:rsid w:val="00FE63ED"/>
    <w:rsid w:val="00FF41D8"/>
    <w:rsid w:val="00FF625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177"/>
    <w:rPr>
      <w:sz w:val="24"/>
      <w:szCs w:val="24"/>
      <w:lang w:val="en-GB" w:eastAsia="en-GB"/>
    </w:rPr>
  </w:style>
  <w:style w:type="paragraph" w:styleId="Titre1">
    <w:name w:val="heading 1"/>
    <w:basedOn w:val="Normal"/>
    <w:next w:val="Normal"/>
    <w:qFormat/>
    <w:rsid w:val="0072505E"/>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72505E"/>
    <w:pPr>
      <w:keepNext/>
      <w:spacing w:before="240" w:after="60"/>
      <w:outlineLvl w:val="1"/>
    </w:pPr>
    <w:rPr>
      <w:rFonts w:ascii="Arial" w:hAnsi="Arial" w:cs="Arial"/>
      <w:b/>
      <w:bCs/>
      <w:i/>
      <w:iCs/>
      <w:sz w:val="28"/>
      <w:szCs w:val="28"/>
      <w:lang w:val="fr-FR" w:eastAsia="en-US"/>
    </w:rPr>
  </w:style>
  <w:style w:type="paragraph" w:styleId="Titre3">
    <w:name w:val="heading 3"/>
    <w:basedOn w:val="Normal"/>
    <w:next w:val="Normal"/>
    <w:qFormat/>
    <w:rsid w:val="00F9797B"/>
    <w:pPr>
      <w:keepNext/>
      <w:numPr>
        <w:ilvl w:val="1"/>
        <w:numId w:val="1"/>
      </w:numPr>
      <w:tabs>
        <w:tab w:val="clear" w:pos="1950"/>
        <w:tab w:val="num" w:pos="720"/>
      </w:tabs>
      <w:ind w:left="720" w:hanging="720"/>
      <w:jc w:val="both"/>
      <w:outlineLvl w:val="2"/>
    </w:pPr>
    <w:rPr>
      <w:i/>
      <w:sz w:val="22"/>
      <w:lang w:val="fr-FR" w:eastAsia="en-US"/>
    </w:rPr>
  </w:style>
  <w:style w:type="paragraph" w:styleId="Titre4">
    <w:name w:val="heading 4"/>
    <w:aliases w:val="Centred"/>
    <w:basedOn w:val="Normal"/>
    <w:next w:val="Normal"/>
    <w:qFormat/>
    <w:rsid w:val="00F9797B"/>
    <w:pPr>
      <w:keepNext/>
      <w:outlineLvl w:val="3"/>
    </w:pPr>
    <w:rPr>
      <w:b/>
      <w:bCs/>
      <w:i/>
      <w:iCs/>
      <w:lang w:eastAsia="en-US"/>
    </w:rPr>
  </w:style>
  <w:style w:type="paragraph" w:styleId="Titre5">
    <w:name w:val="heading 5"/>
    <w:aliases w:val="Side"/>
    <w:basedOn w:val="Normal"/>
    <w:next w:val="Normal"/>
    <w:qFormat/>
    <w:rsid w:val="00F9797B"/>
    <w:pPr>
      <w:keepNext/>
      <w:jc w:val="center"/>
      <w:outlineLvl w:val="4"/>
    </w:pPr>
    <w:rPr>
      <w:b/>
      <w:bCs/>
      <w:i/>
      <w:iCs/>
      <w:color w:val="FF00FF"/>
      <w:sz w:val="22"/>
      <w:lang w:eastAsia="en-US"/>
    </w:rPr>
  </w:style>
  <w:style w:type="paragraph" w:styleId="Titre6">
    <w:name w:val="heading 6"/>
    <w:basedOn w:val="Normal"/>
    <w:next w:val="Normal"/>
    <w:qFormat/>
    <w:rsid w:val="00F9797B"/>
    <w:pPr>
      <w:spacing w:before="240" w:after="60"/>
      <w:jc w:val="both"/>
      <w:outlineLvl w:val="5"/>
    </w:pPr>
    <w:rPr>
      <w:b/>
      <w:bCs/>
      <w:sz w:val="22"/>
      <w:szCs w:val="22"/>
      <w:lang w:eastAsia="en-US"/>
    </w:rPr>
  </w:style>
  <w:style w:type="paragraph" w:styleId="Titre8">
    <w:name w:val="heading 8"/>
    <w:basedOn w:val="Normal"/>
    <w:next w:val="Normal"/>
    <w:qFormat/>
    <w:rsid w:val="00F9797B"/>
    <w:pPr>
      <w:spacing w:before="240" w:after="60"/>
      <w:jc w:val="both"/>
      <w:outlineLvl w:val="7"/>
    </w:pPr>
    <w:rPr>
      <w:i/>
      <w:iCs/>
      <w:lang w:eastAsia="en-US"/>
    </w:rPr>
  </w:style>
  <w:style w:type="paragraph" w:styleId="Titre9">
    <w:name w:val="heading 9"/>
    <w:basedOn w:val="Normal"/>
    <w:next w:val="Normal"/>
    <w:qFormat/>
    <w:rsid w:val="00F9797B"/>
    <w:pPr>
      <w:spacing w:before="240" w:after="60"/>
      <w:jc w:val="both"/>
      <w:outlineLvl w:val="8"/>
    </w:pPr>
    <w:rPr>
      <w:rFonts w:ascii="Arial" w:hAnsi="Arial" w:cs="Arial"/>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9F7E9C"/>
    <w:pPr>
      <w:ind w:left="250" w:hanging="250"/>
    </w:pPr>
    <w:rPr>
      <w:sz w:val="20"/>
      <w:szCs w:val="20"/>
      <w:lang w:val="fr-FR" w:eastAsia="pl-PL"/>
    </w:rPr>
  </w:style>
  <w:style w:type="paragraph" w:styleId="Retraitcorpsdetexte2">
    <w:name w:val="Body Text Indent 2"/>
    <w:basedOn w:val="Normal"/>
    <w:rsid w:val="009F7E9C"/>
    <w:pPr>
      <w:ind w:left="250" w:hanging="250"/>
    </w:pPr>
    <w:rPr>
      <w:sz w:val="18"/>
      <w:szCs w:val="18"/>
      <w:lang w:val="fr-FR" w:eastAsia="pl-PL"/>
    </w:rPr>
  </w:style>
  <w:style w:type="paragraph" w:styleId="Normalcentr">
    <w:name w:val="Block Text"/>
    <w:basedOn w:val="Normal"/>
    <w:rsid w:val="009F7E9C"/>
    <w:pPr>
      <w:ind w:left="250" w:right="-171" w:hanging="250"/>
    </w:pPr>
    <w:rPr>
      <w:sz w:val="18"/>
      <w:szCs w:val="18"/>
      <w:lang w:val="fr-FR" w:eastAsia="pl-PL"/>
    </w:rPr>
  </w:style>
  <w:style w:type="paragraph" w:styleId="Retraitcorpsdetexte3">
    <w:name w:val="Body Text Indent 3"/>
    <w:basedOn w:val="Normal"/>
    <w:rsid w:val="009F7E9C"/>
    <w:pPr>
      <w:ind w:left="284" w:hanging="284"/>
    </w:pPr>
    <w:rPr>
      <w:sz w:val="16"/>
      <w:szCs w:val="16"/>
      <w:lang w:val="fr-FR" w:eastAsia="pl-PL"/>
    </w:rPr>
  </w:style>
  <w:style w:type="paragraph" w:styleId="En-tte">
    <w:name w:val="header"/>
    <w:basedOn w:val="Normal"/>
    <w:rsid w:val="009F7E9C"/>
    <w:pPr>
      <w:tabs>
        <w:tab w:val="center" w:pos="4536"/>
        <w:tab w:val="right" w:pos="9072"/>
      </w:tabs>
    </w:pPr>
    <w:rPr>
      <w:sz w:val="20"/>
      <w:szCs w:val="20"/>
      <w:lang w:val="fr-FR" w:eastAsia="pl-PL"/>
    </w:rPr>
  </w:style>
  <w:style w:type="character" w:styleId="Numrodepage">
    <w:name w:val="page number"/>
    <w:basedOn w:val="Policepardfaut"/>
    <w:rsid w:val="009F7E9C"/>
  </w:style>
  <w:style w:type="paragraph" w:styleId="Corpsdetexte2">
    <w:name w:val="Body Text 2"/>
    <w:basedOn w:val="Normal"/>
    <w:rsid w:val="009F7E9C"/>
    <w:pPr>
      <w:ind w:right="-30"/>
    </w:pPr>
    <w:rPr>
      <w:sz w:val="16"/>
      <w:szCs w:val="16"/>
      <w:lang w:val="fr-FR" w:eastAsia="pl-PL"/>
    </w:rPr>
  </w:style>
  <w:style w:type="paragraph" w:styleId="Pieddepage">
    <w:name w:val="footer"/>
    <w:basedOn w:val="Normal"/>
    <w:rsid w:val="00315D7E"/>
    <w:pPr>
      <w:tabs>
        <w:tab w:val="center" w:pos="4153"/>
        <w:tab w:val="right" w:pos="8306"/>
      </w:tabs>
    </w:pPr>
  </w:style>
  <w:style w:type="table" w:styleId="Grilledutableau">
    <w:name w:val="Table Grid"/>
    <w:basedOn w:val="TableauNormal"/>
    <w:uiPriority w:val="59"/>
    <w:rsid w:val="007134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3">
    <w:name w:val="Body Text 3"/>
    <w:basedOn w:val="Normal"/>
    <w:rsid w:val="00F9797B"/>
    <w:pPr>
      <w:spacing w:after="120"/>
    </w:pPr>
    <w:rPr>
      <w:sz w:val="16"/>
      <w:szCs w:val="16"/>
    </w:rPr>
  </w:style>
  <w:style w:type="paragraph" w:styleId="Corpsdetexte">
    <w:name w:val="Body Text"/>
    <w:basedOn w:val="Normal"/>
    <w:rsid w:val="00F9797B"/>
    <w:pPr>
      <w:spacing w:after="120"/>
    </w:pPr>
  </w:style>
  <w:style w:type="paragraph" w:styleId="Notedebasdepage">
    <w:name w:val="footnote text"/>
    <w:basedOn w:val="Normal"/>
    <w:semiHidden/>
    <w:rsid w:val="006058BB"/>
    <w:rPr>
      <w:sz w:val="20"/>
      <w:szCs w:val="20"/>
    </w:rPr>
  </w:style>
  <w:style w:type="character" w:styleId="Appelnotedebasdep">
    <w:name w:val="footnote reference"/>
    <w:basedOn w:val="Policepardfaut"/>
    <w:semiHidden/>
    <w:rsid w:val="006058BB"/>
    <w:rPr>
      <w:vertAlign w:val="superscript"/>
    </w:rPr>
  </w:style>
  <w:style w:type="paragraph" w:styleId="Textedebulles">
    <w:name w:val="Balloon Text"/>
    <w:basedOn w:val="Normal"/>
    <w:semiHidden/>
    <w:rsid w:val="006356D8"/>
    <w:rPr>
      <w:rFonts w:ascii="Tahoma" w:hAnsi="Tahoma" w:cs="Tahoma"/>
      <w:sz w:val="16"/>
      <w:szCs w:val="16"/>
    </w:rPr>
  </w:style>
  <w:style w:type="paragraph" w:customStyle="1" w:styleId="CarCar1CarCarCarCharChar">
    <w:name w:val="Car Car1 Car Car Car Char Char"/>
    <w:basedOn w:val="Normal"/>
    <w:autoRedefine/>
    <w:rsid w:val="00256758"/>
    <w:pPr>
      <w:widowControl w:val="0"/>
      <w:numPr>
        <w:numId w:val="2"/>
      </w:numPr>
      <w:adjustRightInd w:val="0"/>
      <w:spacing w:before="360" w:after="240"/>
      <w:jc w:val="center"/>
      <w:textAlignment w:val="baseline"/>
    </w:pPr>
    <w:rPr>
      <w:rFonts w:ascii="Arial" w:hAnsi="Arial"/>
      <w:sz w:val="20"/>
      <w:szCs w:val="20"/>
      <w:lang w:val="en-US" w:eastAsia="en-US"/>
    </w:rPr>
  </w:style>
  <w:style w:type="paragraph" w:styleId="Sous-titre">
    <w:name w:val="Subtitle"/>
    <w:basedOn w:val="Normal"/>
    <w:qFormat/>
    <w:rsid w:val="007D3732"/>
    <w:pPr>
      <w:numPr>
        <w:numId w:val="3"/>
      </w:numPr>
      <w:spacing w:after="60"/>
      <w:jc w:val="center"/>
      <w:outlineLvl w:val="1"/>
    </w:pPr>
    <w:rPr>
      <w:rFonts w:ascii="Arial" w:hAnsi="Arial" w:cs="Arial"/>
      <w:lang w:val="fr-FR" w:eastAsia="en-US"/>
    </w:rPr>
  </w:style>
  <w:style w:type="paragraph" w:customStyle="1" w:styleId="IFADparagraphnumbering">
    <w:name w:val="IFAD paragraph numbering"/>
    <w:basedOn w:val="Corpsdetexte"/>
    <w:rsid w:val="00C41E84"/>
    <w:pPr>
      <w:widowControl w:val="0"/>
      <w:numPr>
        <w:numId w:val="4"/>
      </w:numPr>
      <w:adjustRightInd w:val="0"/>
      <w:spacing w:line="0" w:lineRule="atLeast"/>
      <w:jc w:val="both"/>
      <w:textAlignment w:val="baseline"/>
    </w:pPr>
    <w:rPr>
      <w:sz w:val="22"/>
      <w:szCs w:val="20"/>
      <w:lang w:eastAsia="en-US"/>
    </w:rPr>
  </w:style>
  <w:style w:type="table" w:styleId="Grilleclaire-Accent6">
    <w:name w:val="Light Grid Accent 6"/>
    <w:basedOn w:val="TableauNormal"/>
    <w:uiPriority w:val="62"/>
    <w:rsid w:val="008116B4"/>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styleId="Paragraphedeliste">
    <w:name w:val="List Paragraph"/>
    <w:basedOn w:val="Normal"/>
    <w:uiPriority w:val="34"/>
    <w:qFormat/>
    <w:rsid w:val="0036574A"/>
    <w:pPr>
      <w:spacing w:after="200" w:line="276" w:lineRule="auto"/>
      <w:ind w:left="720"/>
      <w:contextualSpacing/>
    </w:pPr>
    <w:rPr>
      <w:rFonts w:ascii="Calibri" w:eastAsia="Calibri" w:hAnsi="Calibri"/>
      <w:sz w:val="22"/>
      <w:szCs w:val="22"/>
      <w:lang w:val="fr-FR" w:eastAsia="en-US"/>
    </w:rPr>
  </w:style>
  <w:style w:type="paragraph" w:customStyle="1" w:styleId="IFADparagraphno2ndlevel">
    <w:name w:val="IFAD paragraph no. 2nd level"/>
    <w:basedOn w:val="Normal"/>
    <w:rsid w:val="000169D7"/>
    <w:pPr>
      <w:tabs>
        <w:tab w:val="num" w:pos="737"/>
      </w:tabs>
      <w:spacing w:after="120"/>
      <w:ind w:left="170"/>
      <w:jc w:val="both"/>
    </w:pPr>
    <w:rPr>
      <w:rFonts w:ascii="Verdana" w:hAnsi="Verdana" w:cs="Arial"/>
      <w:sz w:val="20"/>
      <w:szCs w:val="20"/>
      <w:lang w:val="fr-FR" w:eastAsia="en-US"/>
    </w:rPr>
  </w:style>
  <w:style w:type="paragraph" w:customStyle="1" w:styleId="IFADparagraphno3rdlevel">
    <w:name w:val="IFAD paragraph no. 3rd level"/>
    <w:basedOn w:val="Normal"/>
    <w:rsid w:val="000169D7"/>
    <w:pPr>
      <w:tabs>
        <w:tab w:val="num" w:pos="907"/>
      </w:tabs>
      <w:spacing w:after="120"/>
      <w:ind w:left="340"/>
      <w:jc w:val="both"/>
    </w:pPr>
    <w:rPr>
      <w:rFonts w:ascii="Verdana" w:hAnsi="Verdana" w:cs="Arial"/>
      <w:sz w:val="20"/>
      <w:szCs w:val="20"/>
      <w:lang w:val="fr-FR" w:eastAsia="en-US"/>
    </w:rPr>
  </w:style>
  <w:style w:type="paragraph" w:customStyle="1" w:styleId="IFADparagraphno4thlevel">
    <w:name w:val="IFAD paragraph no. 4th level"/>
    <w:basedOn w:val="Normal"/>
    <w:rsid w:val="000169D7"/>
    <w:pPr>
      <w:tabs>
        <w:tab w:val="num" w:pos="1077"/>
      </w:tabs>
      <w:spacing w:after="120"/>
      <w:ind w:left="510"/>
      <w:jc w:val="both"/>
    </w:pPr>
    <w:rPr>
      <w:rFonts w:ascii="Verdana" w:hAnsi="Verdana" w:cs="Arial"/>
      <w:sz w:val="20"/>
      <w:szCs w:val="20"/>
      <w:lang w:val="fr-FR" w:eastAsia="en-US"/>
    </w:rPr>
  </w:style>
  <w:style w:type="character" w:styleId="Lienhypertexte">
    <w:name w:val="Hyperlink"/>
    <w:basedOn w:val="Policepardfaut"/>
    <w:uiPriority w:val="99"/>
    <w:rsid w:val="000169D7"/>
    <w:rPr>
      <w:color w:val="0000FF"/>
      <w:u w:val="single"/>
    </w:rPr>
  </w:style>
</w:styles>
</file>

<file path=word/webSettings.xml><?xml version="1.0" encoding="utf-8"?>
<w:webSettings xmlns:r="http://schemas.openxmlformats.org/officeDocument/2006/relationships" xmlns:w="http://schemas.openxmlformats.org/wordprocessingml/2006/main">
  <w:divs>
    <w:div w:id="121550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perer.m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3A0B4-459D-40C5-999E-141DE74F3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5418</Words>
  <Characters>29803</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RAPPORT ANNUEL DE SUIVI ET EVALUATION DE PROJET</vt:lpstr>
    </vt:vector>
  </TitlesOfParts>
  <Company>IFAD</Company>
  <LinksUpToDate>false</LinksUpToDate>
  <CharactersWithSpaces>35151</CharactersWithSpaces>
  <SharedDoc>false</SharedDoc>
  <HLinks>
    <vt:vector size="6" baseType="variant">
      <vt:variant>
        <vt:i4>393240</vt:i4>
      </vt:variant>
      <vt:variant>
        <vt:i4>0</vt:i4>
      </vt:variant>
      <vt:variant>
        <vt:i4>0</vt:i4>
      </vt:variant>
      <vt:variant>
        <vt:i4>5</vt:i4>
      </vt:variant>
      <vt:variant>
        <vt:lpwstr>http://www.prosperer.mg/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ANNUEL DE SUIVI ET EVALUATION DE PROJET</dc:title>
  <dc:creator>Andrianony</dc:creator>
  <cp:lastModifiedBy>ADMIN</cp:lastModifiedBy>
  <cp:revision>5</cp:revision>
  <cp:lastPrinted>2007-07-25T07:56:00Z</cp:lastPrinted>
  <dcterms:created xsi:type="dcterms:W3CDTF">2010-01-16T11:48:00Z</dcterms:created>
  <dcterms:modified xsi:type="dcterms:W3CDTF">2010-01-16T11:54:00Z</dcterms:modified>
</cp:coreProperties>
</file>